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tabs>
          <w:tab w:val="right" w:leader="dot" w:pos="8306"/>
        </w:tabs>
        <w:jc w:val="center"/>
        <w:rPr>
          <w:rFonts w:hint="eastAsia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</w:pPr>
    </w:p>
    <w:p>
      <w:pPr>
        <w:pStyle w:val="2"/>
        <w:tabs>
          <w:tab w:val="right" w:leader="dot" w:pos="8306"/>
        </w:tabs>
        <w:jc w:val="center"/>
        <w:rPr>
          <w:rFonts w:hint="eastAsia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</w:pPr>
    </w:p>
    <w:p>
      <w:pPr>
        <w:pStyle w:val="2"/>
        <w:tabs>
          <w:tab w:val="right" w:leader="dot" w:pos="8306"/>
        </w:tabs>
        <w:jc w:val="center"/>
        <w:rPr>
          <w:rFonts w:hint="eastAsia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  <w:t>AHAI6256上位机软件</w:t>
      </w:r>
    </w:p>
    <w:p>
      <w:pPr>
        <w:pStyle w:val="2"/>
        <w:tabs>
          <w:tab w:val="right" w:leader="dot" w:pos="8306"/>
        </w:tabs>
        <w:jc w:val="center"/>
        <w:rPr>
          <w:rFonts w:hint="default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  <w:t>使用说明(声学）</w:t>
      </w:r>
    </w:p>
    <w:p>
      <w:pPr>
        <w:rPr>
          <w:rFonts w:hint="eastAsia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eastAsia" w:ascii="Times New Roman" w:hAnsi="Times New Roman"/>
          <w:b/>
          <w:sz w:val="36"/>
          <w:szCs w:val="36"/>
        </w:rPr>
      </w:pPr>
      <w:r>
        <w:rPr>
          <w:rFonts w:hint="eastAsia" w:ascii="Times New Roman" w:hAnsi="Times New Roman"/>
          <w:b/>
          <w:sz w:val="36"/>
          <w:szCs w:val="36"/>
        </w:rPr>
        <w:drawing>
          <wp:inline distT="0" distB="0" distL="114300" distR="114300">
            <wp:extent cx="2227580" cy="2227580"/>
            <wp:effectExtent l="0" t="0" r="1270" b="1270"/>
            <wp:docPr id="15" name="图片 14" descr="lALPGpqNan0Z_hzNAgDNAgA_512_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 descr="lALPGpqNan0Z_hzNAgDNAgA_512_5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27580" cy="2227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Times New Roman" w:hAnsi="Times New Roman"/>
          <w:b/>
          <w:sz w:val="36"/>
          <w:szCs w:val="36"/>
        </w:rPr>
      </w:pPr>
    </w:p>
    <w:p>
      <w:pPr>
        <w:jc w:val="center"/>
        <w:rPr>
          <w:rFonts w:hint="eastAsia" w:ascii="Times New Roman" w:hAnsi="Times New Roman"/>
          <w:b/>
          <w:sz w:val="36"/>
          <w:szCs w:val="36"/>
        </w:rPr>
      </w:pPr>
    </w:p>
    <w:p>
      <w:pPr>
        <w:jc w:val="center"/>
        <w:rPr>
          <w:rFonts w:hint="eastAsia" w:ascii="Times New Roman" w:hAnsi="Times New Roman"/>
          <w:b/>
          <w:sz w:val="36"/>
          <w:szCs w:val="36"/>
        </w:rPr>
      </w:pPr>
    </w:p>
    <w:p>
      <w:pPr>
        <w:jc w:val="center"/>
        <w:rPr>
          <w:rFonts w:hint="eastAsia" w:ascii="Times New Roman" w:hAnsi="Times New Roman"/>
          <w:b/>
          <w:sz w:val="36"/>
          <w:szCs w:val="36"/>
        </w:rPr>
      </w:pPr>
    </w:p>
    <w:p>
      <w:pPr>
        <w:jc w:val="center"/>
        <w:outlineLvl w:val="0"/>
        <w:rPr>
          <w:rFonts w:hint="eastAsia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</w:pPr>
      <w:bookmarkStart w:id="0" w:name="_Toc6846"/>
      <w:r>
        <w:rPr>
          <w:rFonts w:hint="eastAsia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  <w:t>杭州爱华智能科技有限公司</w:t>
      </w:r>
      <w:bookmarkEnd w:id="0"/>
    </w:p>
    <w:p>
      <w:pPr>
        <w:jc w:val="center"/>
        <w:rPr>
          <w:rFonts w:hint="eastAsia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</w:pPr>
    </w:p>
    <w:p>
      <w:pPr>
        <w:jc w:val="center"/>
        <w:rPr>
          <w:rFonts w:hint="eastAsia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  <w:t>2022.08</w:t>
      </w:r>
    </w:p>
    <w:p>
      <w:pPr>
        <w:jc w:val="center"/>
        <w:rPr>
          <w:rFonts w:hint="eastAsia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</w:pPr>
    </w:p>
    <w:p>
      <w:pPr>
        <w:jc w:val="center"/>
        <w:rPr>
          <w:rFonts w:hint="eastAsia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</w:pPr>
    </w:p>
    <w:p>
      <w:pPr>
        <w:jc w:val="both"/>
        <w:rPr>
          <w:rFonts w:hint="eastAsia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</w:pPr>
    </w:p>
    <w:sdt>
      <w:sdt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id w:val="147472520"/>
        <w15:color w:val="DBDBDB"/>
        <w:docPartObj>
          <w:docPartGallery w:val="Table of Contents"/>
          <w:docPartUnique/>
        </w:docPartObj>
      </w:sdtPr>
      <w:sdtEndPr>
        <w:rPr>
          <w:rFonts w:hint="default" w:ascii="思源黑体 CN Normal" w:hAnsi="思源黑体 CN Normal" w:eastAsia="思源黑体 CN Normal" w:cs="思源黑体 CN Normal"/>
          <w:b/>
          <w:bCs w:val="0"/>
          <w:kern w:val="2"/>
          <w:sz w:val="21"/>
          <w:szCs w:val="28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5"/>
            <w:tabs>
              <w:tab w:val="right" w:leader="dot" w:pos="8306"/>
            </w:tabs>
            <w:rPr>
              <w:b/>
            </w:rPr>
          </w:pP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 w:val="28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 w:val="28"/>
              <w:szCs w:val="28"/>
              <w:lang w:val="en-US" w:eastAsia="zh-CN"/>
            </w:rPr>
            <w:instrText xml:space="preserve">TOC \o "1-2" \h \u </w:instrText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 w:val="28"/>
              <w:szCs w:val="28"/>
              <w:lang w:val="en-US" w:eastAsia="zh-CN"/>
            </w:rPr>
            <w:fldChar w:fldCharType="separate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instrText xml:space="preserve"> HYPERLINK \l _Toc6846 </w:instrText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t>杭州爱华智能科技有限公司</w:t>
          </w:r>
          <w:r>
            <w:rPr>
              <w:b/>
            </w:rPr>
            <w:tab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PAGEREF _Toc6846 \h </w:instrText>
          </w:r>
          <w:r>
            <w:rPr>
              <w:b/>
            </w:rPr>
            <w:fldChar w:fldCharType="separate"/>
          </w:r>
          <w:r>
            <w:rPr>
              <w:b/>
            </w:rPr>
            <w:t>1</w:t>
          </w:r>
          <w:r>
            <w:rPr>
              <w:b/>
            </w:rP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5"/>
            <w:tabs>
              <w:tab w:val="right" w:leader="dot" w:pos="8306"/>
            </w:tabs>
            <w:rPr>
              <w:b/>
            </w:rPr>
          </w:pP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instrText xml:space="preserve"> HYPERLINK \l _Toc1409 </w:instrText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default"/>
              <w:b/>
              <w:bCs/>
              <w:lang w:val="en-US" w:eastAsia="zh-CN"/>
            </w:rPr>
            <w:t xml:space="preserve">2.1 </w:t>
          </w:r>
          <w:r>
            <w:rPr>
              <w:rFonts w:hint="eastAsia"/>
              <w:b/>
              <w:bCs/>
              <w:lang w:val="en-US" w:eastAsia="zh-CN"/>
            </w:rPr>
            <w:t>仪器管理</w:t>
          </w:r>
          <w:r>
            <w:rPr>
              <w:b/>
            </w:rPr>
            <w:tab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PAGEREF _Toc1409 \h </w:instrText>
          </w:r>
          <w:r>
            <w:rPr>
              <w:b/>
            </w:rPr>
            <w:fldChar w:fldCharType="separate"/>
          </w:r>
          <w:r>
            <w:rPr>
              <w:b/>
            </w:rPr>
            <w:t>5</w:t>
          </w:r>
          <w:r>
            <w:rPr>
              <w:b/>
            </w:rP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5"/>
            <w:tabs>
              <w:tab w:val="right" w:leader="dot" w:pos="8306"/>
            </w:tabs>
            <w:rPr>
              <w:b/>
            </w:rPr>
          </w:pP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instrText xml:space="preserve"> HYPERLINK \l _Toc32656 </w:instrText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b/>
              <w:bCs/>
              <w:szCs w:val="24"/>
              <w:lang w:val="en-US" w:eastAsia="zh-CN"/>
            </w:rPr>
            <w:t>2.2数据管理</w:t>
          </w:r>
          <w:r>
            <w:rPr>
              <w:b/>
            </w:rPr>
            <w:tab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PAGEREF _Toc32656 \h </w:instrText>
          </w:r>
          <w:r>
            <w:rPr>
              <w:b/>
            </w:rPr>
            <w:fldChar w:fldCharType="separate"/>
          </w:r>
          <w:r>
            <w:rPr>
              <w:b/>
            </w:rPr>
            <w:t>5</w:t>
          </w:r>
          <w:r>
            <w:rPr>
              <w:b/>
            </w:rP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instrText xml:space="preserve"> HYPERLINK \l _Toc912 </w:instrText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lang w:val="en-US" w:eastAsia="zh-CN"/>
            </w:rPr>
            <w:t>2.2.1读取统计数据</w:t>
          </w:r>
          <w:r>
            <w:tab/>
          </w:r>
          <w:r>
            <w:fldChar w:fldCharType="begin"/>
          </w:r>
          <w:r>
            <w:instrText xml:space="preserve"> PAGEREF _Toc912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instrText xml:space="preserve"> HYPERLINK \l _Toc32121 </w:instrText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lang w:val="en-US" w:eastAsia="zh-CN"/>
            </w:rPr>
            <w:t>2.2.2读取操作记录</w:t>
          </w:r>
          <w:r>
            <w:tab/>
          </w:r>
          <w:r>
            <w:fldChar w:fldCharType="begin"/>
          </w:r>
          <w:r>
            <w:instrText xml:space="preserve"> PAGEREF _Toc32121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instrText xml:space="preserve"> HYPERLINK \l _Toc10414 </w:instrText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lang w:val="en-US" w:eastAsia="zh-CN"/>
            </w:rPr>
            <w:t>2.2.3 读取时间历程</w:t>
          </w:r>
          <w:r>
            <w:tab/>
          </w:r>
          <w:r>
            <w:fldChar w:fldCharType="begin"/>
          </w:r>
          <w:r>
            <w:instrText xml:space="preserve"> PAGEREF _Toc10414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instrText xml:space="preserve"> HYPERLINK \l _Toc7216 </w:instrText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lang w:val="en-US" w:eastAsia="zh-CN"/>
            </w:rPr>
            <w:t>2.2.4数据导出</w:t>
          </w:r>
          <w:r>
            <w:tab/>
          </w:r>
          <w:r>
            <w:fldChar w:fldCharType="begin"/>
          </w:r>
          <w:r>
            <w:instrText xml:space="preserve"> PAGEREF _Toc7216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instrText xml:space="preserve"> HYPERLINK \l _Toc25203 </w:instrText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lang w:val="en-US" w:eastAsia="zh-CN"/>
            </w:rPr>
            <w:t>2.2.5打开文件</w:t>
          </w:r>
          <w:r>
            <w:tab/>
          </w:r>
          <w:r>
            <w:fldChar w:fldCharType="begin"/>
          </w:r>
          <w:r>
            <w:instrText xml:space="preserve"> PAGEREF _Toc25203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5"/>
            <w:tabs>
              <w:tab w:val="right" w:leader="dot" w:pos="8306"/>
            </w:tabs>
            <w:rPr>
              <w:b/>
            </w:rPr>
          </w:pP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instrText xml:space="preserve"> HYPERLINK \l _Toc27839 </w:instrText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b/>
              <w:bCs/>
              <w:szCs w:val="24"/>
              <w:lang w:val="en-US" w:eastAsia="zh-CN"/>
            </w:rPr>
            <w:t>2.3实时监测</w:t>
          </w:r>
          <w:r>
            <w:rPr>
              <w:b/>
            </w:rPr>
            <w:tab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PAGEREF _Toc27839 \h </w:instrText>
          </w:r>
          <w:r>
            <w:rPr>
              <w:b/>
            </w:rPr>
            <w:fldChar w:fldCharType="separate"/>
          </w:r>
          <w:r>
            <w:rPr>
              <w:b/>
            </w:rPr>
            <w:t>10</w:t>
          </w:r>
          <w:r>
            <w:rPr>
              <w:b/>
            </w:rP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instrText xml:space="preserve"> HYPERLINK \l _Toc14414 </w:instrText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lang w:val="en-US" w:eastAsia="zh-CN"/>
            </w:rPr>
            <w:t>2.3.1 0.5s监测</w:t>
          </w:r>
          <w:r>
            <w:tab/>
          </w:r>
          <w:r>
            <w:fldChar w:fldCharType="begin"/>
          </w:r>
          <w:r>
            <w:instrText xml:space="preserve"> PAGEREF _Toc14414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instrText xml:space="preserve"> HYPERLINK \l _Toc20795 </w:instrText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lang w:val="en-US" w:eastAsia="zh-CN"/>
            </w:rPr>
            <w:t>2.3.2 瞬时监测</w:t>
          </w:r>
          <w:r>
            <w:tab/>
          </w:r>
          <w:r>
            <w:fldChar w:fldCharType="begin"/>
          </w:r>
          <w:r>
            <w:instrText xml:space="preserve"> PAGEREF _Toc20795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5"/>
            <w:tabs>
              <w:tab w:val="right" w:leader="dot" w:pos="8306"/>
            </w:tabs>
            <w:rPr>
              <w:b/>
            </w:rPr>
          </w:pP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instrText xml:space="preserve"> HYPERLINK \l _Toc8919 </w:instrText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b/>
              <w:bCs/>
              <w:szCs w:val="24"/>
              <w:lang w:val="en-US" w:eastAsia="zh-CN"/>
            </w:rPr>
            <w:t>2.4 同步显示</w:t>
          </w:r>
          <w:r>
            <w:rPr>
              <w:b/>
            </w:rPr>
            <w:tab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PAGEREF _Toc8919 \h </w:instrText>
          </w:r>
          <w:r>
            <w:rPr>
              <w:b/>
            </w:rPr>
            <w:fldChar w:fldCharType="separate"/>
          </w:r>
          <w:r>
            <w:rPr>
              <w:b/>
            </w:rPr>
            <w:t>11</w:t>
          </w:r>
          <w:r>
            <w:rPr>
              <w:b/>
            </w:rP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5"/>
            <w:tabs>
              <w:tab w:val="right" w:leader="dot" w:pos="8306"/>
            </w:tabs>
            <w:rPr>
              <w:b/>
            </w:rPr>
          </w:pP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instrText xml:space="preserve"> HYPERLINK \l _Toc27469 </w:instrText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b/>
              <w:bCs/>
              <w:szCs w:val="24"/>
              <w:lang w:val="en-US" w:eastAsia="zh-CN"/>
            </w:rPr>
            <w:t>2.5 校准管理</w:t>
          </w:r>
          <w:r>
            <w:rPr>
              <w:b/>
            </w:rPr>
            <w:tab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PAGEREF _Toc27469 \h </w:instrText>
          </w:r>
          <w:r>
            <w:rPr>
              <w:b/>
            </w:rPr>
            <w:fldChar w:fldCharType="separate"/>
          </w:r>
          <w:r>
            <w:rPr>
              <w:b/>
            </w:rPr>
            <w:t>11</w:t>
          </w:r>
          <w:r>
            <w:rPr>
              <w:b/>
            </w:rP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end"/>
          </w:r>
        </w:p>
        <w:p>
          <w:pPr>
            <w:pStyle w:val="5"/>
            <w:tabs>
              <w:tab w:val="right" w:leader="dot" w:pos="8306"/>
            </w:tabs>
            <w:rPr>
              <w:b/>
            </w:rPr>
          </w:pP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begin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instrText xml:space="preserve"> HYPERLINK \l _Toc25275 </w:instrText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separate"/>
          </w:r>
          <w:r>
            <w:rPr>
              <w:rFonts w:hint="eastAsia" w:ascii="思源黑体 CN Normal" w:hAnsi="思源黑体 CN Normal" w:eastAsia="思源黑体 CN Normal" w:cs="思源黑体 CN Normal"/>
              <w:b/>
              <w:bCs/>
              <w:szCs w:val="24"/>
              <w:lang w:val="en-US" w:eastAsia="zh-CN"/>
            </w:rPr>
            <w:t>2.6 基本信息</w:t>
          </w:r>
          <w:r>
            <w:rPr>
              <w:b/>
            </w:rPr>
            <w:tab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PAGEREF _Toc25275 \h </w:instrText>
          </w:r>
          <w:r>
            <w:rPr>
              <w:b/>
            </w:rPr>
            <w:fldChar w:fldCharType="separate"/>
          </w:r>
          <w:r>
            <w:rPr>
              <w:b/>
            </w:rPr>
            <w:t>12</w:t>
          </w:r>
          <w:r>
            <w:rPr>
              <w:b/>
            </w:rPr>
            <w:fldChar w:fldCharType="end"/>
          </w: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end"/>
          </w:r>
        </w:p>
        <w:p>
          <w:pPr>
            <w:jc w:val="both"/>
            <w:rPr>
              <w:rFonts w:hint="default" w:ascii="思源黑体 CN Normal" w:hAnsi="思源黑体 CN Normal" w:eastAsia="思源黑体 CN Normal" w:cs="思源黑体 CN Normal"/>
              <w:b/>
              <w:bCs w:val="0"/>
              <w:sz w:val="28"/>
              <w:szCs w:val="28"/>
              <w:lang w:val="en-US" w:eastAsia="zh-CN"/>
            </w:rPr>
            <w:sectPr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rPr>
              <w:rFonts w:hint="default" w:ascii="思源黑体 CN Normal" w:hAnsi="思源黑体 CN Normal" w:eastAsia="思源黑体 CN Normal" w:cs="思源黑体 CN Normal"/>
              <w:b/>
              <w:bCs w:val="0"/>
              <w:szCs w:val="28"/>
              <w:lang w:val="en-US" w:eastAsia="zh-CN"/>
            </w:rPr>
            <w:fldChar w:fldCharType="end"/>
          </w:r>
          <w:bookmarkStart w:id="23" w:name="_GoBack"/>
          <w:bookmarkEnd w:id="23"/>
        </w:p>
      </w:sdtContent>
    </w:sdt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仪器设置与连接</w:t>
      </w:r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仪器与上位机软件通信可以使用串口通信或使用USB通信。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串口通信</w:t>
      </w:r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将串口线与电脑主机相连，仪器内部串口设置为AHAI协议，波特率115200。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131445</wp:posOffset>
            </wp:positionV>
            <wp:extent cx="3390900" cy="4200525"/>
            <wp:effectExtent l="0" t="0" r="0" b="9525"/>
            <wp:wrapSquare wrapText="bothSides"/>
            <wp:docPr id="20" name="图片 20" descr="85e1eed8eebeea4bfdde16d7a84d2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85e1eed8eebeea4bfdde16d7a84d22c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仪器设置步骤</w:t>
      </w:r>
    </w:p>
    <w:p>
      <w:p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（1）开机进入第二项仪器设置</w:t>
      </w:r>
    </w:p>
    <w:p>
      <w:pPr>
        <w:bidi w:val="0"/>
        <w:jc w:val="left"/>
      </w:pPr>
      <w:r>
        <w:drawing>
          <wp:inline distT="0" distB="0" distL="114300" distR="114300">
            <wp:extent cx="2390775" cy="31051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（2）仪器设置界面进入第二项基本设置</w:t>
      </w:r>
    </w:p>
    <w:p>
      <w:pPr>
        <w:numPr>
          <w:ilvl w:val="0"/>
          <w:numId w:val="0"/>
        </w:numPr>
        <w:bidi w:val="0"/>
        <w:ind w:leftChars="0"/>
        <w:jc w:val="left"/>
      </w:pPr>
      <w:r>
        <w:drawing>
          <wp:inline distT="0" distB="0" distL="114300" distR="114300">
            <wp:extent cx="2352675" cy="2914015"/>
            <wp:effectExtent l="0" t="0" r="952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（3）进入基本设置后按两下仪器的菜单键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336925" cy="1955800"/>
            <wp:effectExtent l="0" t="0" r="15875" b="6350"/>
            <wp:docPr id="3" name="图片 3" descr="d5a3c8a21e433ca4d6a1bb1c1ed9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5a3c8a21e433ca4d6a1bb1c1ed927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36925" cy="195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（4）按完之后会看到左上角显示基本设置3，在此界面会显示波特率和通信协议。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2333625" cy="2609850"/>
            <wp:effectExtent l="0" t="0" r="9525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bidi w:val="0"/>
        <w:ind w:left="0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USB通信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使用USB线将仪器与电脑连接即可。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软件使用</w:t>
      </w:r>
    </w:p>
    <w:p>
      <w:pPr>
        <w:numPr>
          <w:ilvl w:val="1"/>
          <w:numId w:val="2"/>
        </w:numPr>
        <w:bidi w:val="0"/>
        <w:ind w:leftChars="0"/>
        <w:jc w:val="left"/>
        <w:outlineLvl w:val="0"/>
        <w:rPr>
          <w:rFonts w:hint="eastAsia"/>
          <w:b/>
          <w:bCs/>
          <w:lang w:val="en-US" w:eastAsia="zh-CN"/>
        </w:rPr>
      </w:pPr>
      <w:bookmarkStart w:id="1" w:name="_Toc1409"/>
      <w:r>
        <w:rPr>
          <w:rFonts w:hint="eastAsia"/>
          <w:b/>
          <w:bCs/>
          <w:lang w:val="en-US" w:eastAsia="zh-CN"/>
        </w:rPr>
        <w:t>仪器管理</w:t>
      </w:r>
      <w:bookmarkEnd w:id="1"/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软件启动后首先进入仪器管理界面，在此界面选择仪器与电脑相连的通信方式。选择串口通信时需设置串口号，波特率选择115200即可。</w:t>
      </w:r>
    </w:p>
    <w:p>
      <w:pPr>
        <w:numPr>
          <w:ilvl w:val="0"/>
          <w:numId w:val="0"/>
        </w:numPr>
        <w:ind w:firstLine="420"/>
        <w:rPr>
          <w:rFonts w:hint="eastAsia" w:eastAsiaTheme="minorEastAsia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仪器管理界面显示了仪器信息和仪器图片。</w:t>
      </w:r>
    </w:p>
    <w:p>
      <w:pPr>
        <w:numPr>
          <w:ilvl w:val="0"/>
          <w:numId w:val="0"/>
        </w:numPr>
        <w:bidi w:val="0"/>
        <w:ind w:leftChars="0"/>
        <w:jc w:val="left"/>
      </w:pPr>
      <w:r>
        <w:drawing>
          <wp:inline distT="0" distB="0" distL="114300" distR="114300">
            <wp:extent cx="5264785" cy="2793365"/>
            <wp:effectExtent l="0" t="0" r="12065" b="698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9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outlineLvl w:val="0"/>
        <w:rPr>
          <w:rFonts w:hint="eastAsia" w:ascii="思源黑体 CN Normal" w:hAnsi="思源黑体 CN Normal" w:eastAsia="思源黑体 CN Normal" w:cs="思源黑体 CN Normal"/>
          <w:b/>
          <w:bCs/>
          <w:sz w:val="24"/>
          <w:szCs w:val="24"/>
          <w:lang w:val="en-US" w:eastAsia="zh-CN"/>
        </w:rPr>
      </w:pPr>
      <w:bookmarkStart w:id="2" w:name="_Toc10202"/>
      <w:bookmarkStart w:id="3" w:name="_Toc32656"/>
      <w:r>
        <w:rPr>
          <w:rFonts w:hint="eastAsia" w:ascii="思源黑体 CN Normal" w:hAnsi="思源黑体 CN Normal" w:eastAsia="思源黑体 CN Normal" w:cs="思源黑体 CN Normal"/>
          <w:b/>
          <w:bCs/>
          <w:sz w:val="24"/>
          <w:szCs w:val="24"/>
          <w:lang w:val="en-US" w:eastAsia="zh-CN"/>
        </w:rPr>
        <w:t>2.2数据管理</w:t>
      </w:r>
      <w:bookmarkEnd w:id="2"/>
      <w:bookmarkEnd w:id="3"/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仪器与电脑连接后，点击数据管理界面，即可进行数据读取等操作。</w:t>
      </w:r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4" w:name="_Toc13808"/>
      <w:bookmarkStart w:id="5" w:name="_Toc912"/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2.2.1读取统计数据</w:t>
      </w:r>
      <w:bookmarkEnd w:id="4"/>
      <w:bookmarkEnd w:id="5"/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点击读取统计数据，将仪器内部的统计数据读取至软件界面。数据读取成功后双击左侧已读取到的数据，即可显示数据图像。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Stat-ONE(统计分析)：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统计分析图像显示如图，图像左侧坐标轴为Wx、Wz相关指标坐标轴。点击右上角全部选中的按钮，可以选择进行图像显示的指标。</w:t>
      </w:r>
    </w:p>
    <w:p>
      <w:pPr>
        <w:numPr>
          <w:ilvl w:val="0"/>
          <w:numId w:val="0"/>
        </w:numPr>
        <w:bidi w:val="0"/>
        <w:ind w:leftChars="0"/>
        <w:jc w:val="left"/>
      </w:pPr>
      <w:r>
        <w:drawing>
          <wp:inline distT="0" distB="0" distL="114300" distR="114300">
            <wp:extent cx="5264785" cy="2766060"/>
            <wp:effectExtent l="0" t="0" r="12065" b="1524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Stat-LOG：</w:t>
      </w:r>
    </w:p>
    <w:p>
      <w:pPr>
        <w:numPr>
          <w:ilvl w:val="0"/>
          <w:numId w:val="0"/>
        </w:numPr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Stat-LOG图像如图所示，图像左侧为LAF、LZF相关指标坐标轴。点击右上角全部选中的按钮，可以选择进行图像显示的指标。</w:t>
      </w:r>
    </w:p>
    <w:p>
      <w:pPr>
        <w:numPr>
          <w:ilvl w:val="0"/>
          <w:numId w:val="0"/>
        </w:numPr>
        <w:bidi w:val="0"/>
        <w:ind w:leftChars="0"/>
        <w:jc w:val="left"/>
      </w:pPr>
      <w:r>
        <w:drawing>
          <wp:inline distT="0" distB="0" distL="114300" distR="114300">
            <wp:extent cx="5264785" cy="3393440"/>
            <wp:effectExtent l="0" t="0" r="12065" b="1651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9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OVERALL INT(总值积分仪)：</w:t>
      </w:r>
    </w:p>
    <w:p>
      <w:pPr>
        <w:numPr>
          <w:ilvl w:val="0"/>
          <w:numId w:val="0"/>
        </w:numPr>
        <w:bidi w:val="0"/>
        <w:ind w:leftChars="0" w:firstLine="420"/>
        <w:jc w:val="left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总值积分仪图像显示如图，图像显示的为LA、LC、LZ、LAE、LC-A、SEL数据的图像。点击右上角全部选中的按钮，可以选择进行图像显示的指标。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4785" cy="3393440"/>
            <wp:effectExtent l="0" t="0" r="12065" b="1651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9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ALL-LOG_SLM</w:t>
      </w:r>
    </w:p>
    <w:p>
      <w:pPr>
        <w:numPr>
          <w:ilvl w:val="0"/>
          <w:numId w:val="0"/>
        </w:numPr>
        <w:bidi w:val="0"/>
        <w:ind w:firstLine="420" w:firstLineChars="200"/>
        <w:jc w:val="left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/>
          <w:lang w:val="en-US" w:eastAsia="zh-CN"/>
        </w:rPr>
        <w:t>ALL-LOG_SLM</w:t>
      </w: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图像显示如图，图像显示的是LZ、LC、LA、Wind相关数据图像。点击右上角全部选中按钮，可以选择进行图像显示的指标。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4785" cy="3393440"/>
            <wp:effectExtent l="0" t="0" r="12065" b="1651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9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1/3OCT-INT：</w:t>
      </w:r>
    </w:p>
    <w:p>
      <w:pPr>
        <w:numPr>
          <w:ilvl w:val="0"/>
          <w:numId w:val="0"/>
        </w:numPr>
        <w:bidi w:val="0"/>
        <w:ind w:firstLine="420"/>
        <w:jc w:val="left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1/3OCT图像显示如图，图像左侧显示的坐标轴为LS、LF、LeqT相关指标的坐标轴，点击右上角全部选中的按钮，可以选择进行图像显示的指标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4785" cy="3393440"/>
            <wp:effectExtent l="0" t="0" r="12065" b="1651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9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1/3OCT-LOG</w:t>
      </w:r>
    </w:p>
    <w:p>
      <w:pPr>
        <w:numPr>
          <w:ilvl w:val="0"/>
          <w:numId w:val="0"/>
        </w:numPr>
        <w:bidi w:val="0"/>
        <w:ind w:firstLine="420" w:firstLineChars="200"/>
        <w:jc w:val="left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1/3OCT-LOG图像显示如图，图像左侧显示的坐标轴为SPL和不同频率相关指标的坐标轴，点击右上角全部选中的按钮，可以选择进行图像显示的指标。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4785" cy="3393440"/>
            <wp:effectExtent l="0" t="0" r="12065" b="1651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9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1/3OCT-INT：</w:t>
      </w:r>
    </w:p>
    <w:p>
      <w:pPr>
        <w:numPr>
          <w:ilvl w:val="0"/>
          <w:numId w:val="0"/>
        </w:numPr>
        <w:bidi w:val="0"/>
        <w:ind w:firstLine="420"/>
        <w:jc w:val="left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1/3OCT图像显示如图，图像左侧显示的坐标轴为LS、LF、LeqT相关指标的坐标轴，点击右上角全部选中的按钮，可以选择进行图像显示的指标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4785" cy="3393440"/>
            <wp:effectExtent l="0" t="0" r="12065" b="16510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9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0"/>
        </w:num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1/1OCT-LOG</w:t>
      </w:r>
    </w:p>
    <w:p>
      <w:pPr>
        <w:numPr>
          <w:ilvl w:val="0"/>
          <w:numId w:val="0"/>
        </w:numPr>
        <w:bidi w:val="0"/>
        <w:ind w:firstLine="420" w:firstLineChars="200"/>
        <w:jc w:val="left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1/1OCT-LOG图像显示如图，图像左侧显示的坐标轴为SPL和不同频率相关指标的坐标轴，点击右上角全部选中的按钮，可以选择进行图像显示的指标。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4785" cy="3393440"/>
            <wp:effectExtent l="0" t="0" r="12065" b="1651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9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1/1OCT-INT：</w:t>
      </w:r>
    </w:p>
    <w:p>
      <w:pPr>
        <w:numPr>
          <w:ilvl w:val="0"/>
          <w:numId w:val="0"/>
        </w:numPr>
        <w:bidi w:val="0"/>
        <w:ind w:firstLine="420" w:firstLineChars="200"/>
        <w:jc w:val="left"/>
        <w:rPr>
          <w:rFonts w:hint="eastAsia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1/1OCT图像显示如图，图像左侧显示的坐标轴为LS、LF、LeqT相关指标的坐标轴，点击右上角全部选中的按钮，可以选择进行图像显示的指标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4785" cy="3393440"/>
            <wp:effectExtent l="0" t="0" r="12065" b="16510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9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SPL FFT-INI（FFT分析仪）</w:t>
      </w:r>
    </w:p>
    <w:p>
      <w:pPr>
        <w:numPr>
          <w:ilvl w:val="0"/>
          <w:numId w:val="0"/>
        </w:numPr>
        <w:bidi w:val="0"/>
        <w:jc w:val="left"/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FFT分析仪图像显示如图，图像左侧显示的坐标轴是LMax、LMin、LeqT相关指标的坐标轴，点击右上角全部选中的按钮，可以选择进行图像显示的指标。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4785" cy="3393440"/>
            <wp:effectExtent l="0" t="0" r="12065" b="1651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9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outlineLvl w:val="9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6" w:name="_Toc32121"/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2.2.2读取操作记录</w:t>
      </w:r>
      <w:bookmarkEnd w:id="6"/>
    </w:p>
    <w:p>
      <w:pPr>
        <w:numPr>
          <w:ilvl w:val="0"/>
          <w:numId w:val="0"/>
        </w:numPr>
        <w:outlineLvl w:val="2"/>
        <w:rPr>
          <w:rFonts w:hint="default" w:ascii="思源黑体 CN Normal" w:hAnsi="思源黑体 CN Normal" w:eastAsia="思源黑体 CN Normal" w:cs="思源黑体 CN Normal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本仪器不支持此功能。</w:t>
      </w:r>
    </w:p>
    <w:p>
      <w:pPr>
        <w:numPr>
          <w:ilvl w:val="0"/>
          <w:numId w:val="0"/>
        </w:numPr>
        <w:outlineLvl w:val="9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7" w:name="_Toc10414"/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2.2.3 读取时间历程</w:t>
      </w:r>
      <w:bookmarkEnd w:id="7"/>
    </w:p>
    <w:p>
      <w:pPr>
        <w:numPr>
          <w:ilvl w:val="0"/>
          <w:numId w:val="0"/>
        </w:numPr>
        <w:bidi w:val="0"/>
        <w:jc w:val="left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本仪器不支持此功能。</w:t>
      </w:r>
    </w:p>
    <w:p>
      <w:pPr>
        <w:numPr>
          <w:ilvl w:val="0"/>
          <w:numId w:val="0"/>
        </w:numPr>
        <w:outlineLvl w:val="9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8" w:name="_Toc16368"/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9" w:name="_Toc7216"/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2.2.4数据导出</w:t>
      </w:r>
      <w:bookmarkEnd w:id="8"/>
      <w:bookmarkEnd w:id="9"/>
    </w:p>
    <w:p>
      <w:pPr>
        <w:numPr>
          <w:ilvl w:val="0"/>
          <w:numId w:val="0"/>
        </w:numPr>
        <w:ind w:firstLine="420" w:firstLineChars="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统计数据读取完成后点击文件导出，可以将读取到的原始数据导出至本地。点击文件导出，选择要保存的位置，输入文件名称即可保存。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420" w:firstLineChars="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数据读取完成后点击数据导出，可以将读取到的数据导出至本地。点击数据导出，选择要保存的位置，输入文件名称即可保存。</w:t>
      </w:r>
    </w:p>
    <w:p>
      <w:pPr>
        <w:numPr>
          <w:ilvl w:val="0"/>
          <w:numId w:val="0"/>
        </w:numPr>
        <w:outlineLvl w:val="9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10" w:name="_Toc669"/>
    </w:p>
    <w:p>
      <w:pPr>
        <w:numPr>
          <w:ilvl w:val="0"/>
          <w:numId w:val="0"/>
        </w:numPr>
        <w:outlineLvl w:val="9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11" w:name="_Toc25203"/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2.2.5打开文件</w:t>
      </w:r>
      <w:bookmarkEnd w:id="10"/>
      <w:bookmarkEnd w:id="11"/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点击打开文件，找到之前保存至本地的文件，可以将之前保存的结果重新导入显示在软件界面上。</w:t>
      </w:r>
    </w:p>
    <w:p>
      <w:pPr>
        <w:numPr>
          <w:ilvl w:val="0"/>
          <w:numId w:val="0"/>
        </w:numPr>
        <w:outlineLvl w:val="9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  <w:bookmarkStart w:id="12" w:name="_Toc24633"/>
    </w:p>
    <w:p>
      <w:pPr>
        <w:numPr>
          <w:ilvl w:val="0"/>
          <w:numId w:val="0"/>
        </w:numPr>
        <w:outlineLvl w:val="9"/>
        <w:rPr>
          <w:rFonts w:hint="eastAsia" w:ascii="思源黑体 CN Normal" w:hAnsi="思源黑体 CN Normal" w:eastAsia="思源黑体 CN Normal" w:cs="思源黑体 CN Normal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outlineLvl w:val="0"/>
        <w:rPr>
          <w:rFonts w:hint="eastAsia" w:ascii="思源黑体 CN Normal" w:hAnsi="思源黑体 CN Normal" w:eastAsia="思源黑体 CN Normal" w:cs="思源黑体 CN Normal"/>
          <w:b/>
          <w:bCs/>
          <w:sz w:val="24"/>
          <w:szCs w:val="24"/>
          <w:lang w:val="en-US" w:eastAsia="zh-CN"/>
        </w:rPr>
      </w:pPr>
      <w:bookmarkStart w:id="13" w:name="_Toc27839"/>
      <w:r>
        <w:rPr>
          <w:rFonts w:hint="eastAsia" w:ascii="思源黑体 CN Normal" w:hAnsi="思源黑体 CN Normal" w:eastAsia="思源黑体 CN Normal" w:cs="思源黑体 CN Normal"/>
          <w:b/>
          <w:bCs/>
          <w:sz w:val="24"/>
          <w:szCs w:val="24"/>
          <w:lang w:val="en-US" w:eastAsia="zh-CN"/>
        </w:rPr>
        <w:t>2.3实时监测</w:t>
      </w:r>
      <w:bookmarkEnd w:id="12"/>
      <w:bookmarkEnd w:id="13"/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点击实时监测进入实时监测界面。</w:t>
      </w:r>
    </w:p>
    <w:p>
      <w:pPr>
        <w:numPr>
          <w:ilvl w:val="0"/>
          <w:numId w:val="0"/>
        </w:numPr>
        <w:outlineLvl w:val="9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14" w:name="_Toc16229"/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15" w:name="_Toc14414"/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2.3.1 0.5s监测</w:t>
      </w:r>
      <w:bookmarkEnd w:id="14"/>
      <w:bookmarkEnd w:id="15"/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0.5s监测，读取仪器内数据并0.5s刷新一次，显示对应的实时图像。图像选择柱状图时，显示各个指标的实时0.5s数据，选择折线图时，则显示各个指标的时间历程图。点击停止监测，则不再实时刷新数据。如图所示</w:t>
      </w:r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点击按钮1，可以切换模式。</w:t>
      </w:r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点击按钮2，可以选择不同的模块。</w:t>
      </w:r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点击按钮3，可以选择进行图像显示的指标。</w:t>
      </w:r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点击按钮4，可以在柱状图和折线图之间切换。</w:t>
      </w:r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点击按钮5，可以查看实时监测表格数据。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r>
        <w:drawing>
          <wp:inline distT="0" distB="0" distL="114300" distR="114300">
            <wp:extent cx="5264785" cy="3393440"/>
            <wp:effectExtent l="0" t="0" r="12065" b="1651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9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6" w:name="_Toc16148"/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17" w:name="_Toc20795"/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2.3.2 瞬时监测</w:t>
      </w:r>
      <w:bookmarkEnd w:id="16"/>
      <w:bookmarkEnd w:id="17"/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瞬时监测，读取仪器内瞬时数据，显示对应的实时图像。图像选择柱状图时，显示各个指标的瞬时数据，选择折线图时，则显示各个指标的时间历程图。点击停止监测，则不在实时刷新数据。按钮选择参照0.5s监测。</w:t>
      </w:r>
    </w:p>
    <w:p>
      <w:pPr>
        <w:numPr>
          <w:ilvl w:val="0"/>
          <w:numId w:val="0"/>
        </w:numPr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outlineLvl w:val="0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  <w:bookmarkStart w:id="18" w:name="_Toc8919"/>
      <w:bookmarkStart w:id="19" w:name="_Toc6371"/>
      <w:r>
        <w:rPr>
          <w:rFonts w:hint="eastAsia" w:ascii="思源黑体 CN Normal" w:hAnsi="思源黑体 CN Normal" w:eastAsia="思源黑体 CN Normal" w:cs="思源黑体 CN Normal"/>
          <w:b/>
          <w:bCs/>
          <w:sz w:val="24"/>
          <w:szCs w:val="24"/>
          <w:lang w:val="en-US" w:eastAsia="zh-CN"/>
        </w:rPr>
        <w:t>2.4 同步显示</w:t>
      </w:r>
      <w:bookmarkEnd w:id="18"/>
    </w:p>
    <w:p>
      <w:pPr>
        <w:numPr>
          <w:ilvl w:val="0"/>
          <w:numId w:val="0"/>
        </w:numPr>
        <w:ind w:firstLine="420" w:firstLineChars="200"/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本仪器不支持此功能。</w:t>
      </w:r>
    </w:p>
    <w:p>
      <w:pPr>
        <w:numPr>
          <w:ilvl w:val="0"/>
          <w:numId w:val="0"/>
        </w:numPr>
        <w:outlineLvl w:val="9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outlineLvl w:val="0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  <w:bookmarkStart w:id="20" w:name="_Toc27469"/>
      <w:r>
        <w:rPr>
          <w:rFonts w:hint="eastAsia" w:ascii="思源黑体 CN Normal" w:hAnsi="思源黑体 CN Normal" w:eastAsia="思源黑体 CN Normal" w:cs="思源黑体 CN Normal"/>
          <w:b/>
          <w:bCs/>
          <w:sz w:val="24"/>
          <w:szCs w:val="24"/>
          <w:lang w:val="en-US" w:eastAsia="zh-CN"/>
        </w:rPr>
        <w:t>2.5 校准管理</w:t>
      </w:r>
      <w:bookmarkEnd w:id="19"/>
      <w:bookmarkEnd w:id="20"/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点击校准管理，进入校准管理页面。点击右上角的校准记录读取，可以将仪器内部的全部校准记录读取并显示在软件界面上，校准记录读取完成后点击校准记录导出，可以将校准记录保存至本地。点击校准记录导出，选择要保存的位置，输入文件名称即可保存。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4785" cy="3393440"/>
            <wp:effectExtent l="0" t="0" r="12065" b="16510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9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outlineLvl w:val="9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  <w:bookmarkStart w:id="21" w:name="_Toc12177"/>
    </w:p>
    <w:p>
      <w:pPr>
        <w:numPr>
          <w:ilvl w:val="0"/>
          <w:numId w:val="0"/>
        </w:numPr>
        <w:outlineLvl w:val="9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outlineLvl w:val="0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  <w:bookmarkStart w:id="22" w:name="_Toc25275"/>
      <w:r>
        <w:rPr>
          <w:rFonts w:hint="eastAsia" w:ascii="思源黑体 CN Normal" w:hAnsi="思源黑体 CN Normal" w:eastAsia="思源黑体 CN Normal" w:cs="思源黑体 CN Normal"/>
          <w:b/>
          <w:bCs/>
          <w:sz w:val="24"/>
          <w:szCs w:val="24"/>
          <w:lang w:val="en-US" w:eastAsia="zh-CN"/>
        </w:rPr>
        <w:t>2.6 基本信息</w:t>
      </w:r>
      <w:bookmarkEnd w:id="21"/>
      <w:bookmarkEnd w:id="22"/>
    </w:p>
    <w:p>
      <w:pPr>
        <w:numPr>
          <w:ilvl w:val="0"/>
          <w:numId w:val="0"/>
        </w:numPr>
        <w:bidi w:val="0"/>
        <w:ind w:firstLine="420"/>
        <w:jc w:val="left"/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点击基本信息，进入基本信息显示界面。软件自动读取仪器信息，包括仪器型号、串号、传声器型号、传声器串号以及仪器内授权。若仪器未连接成功则此项不显示任何信息。</w:t>
      </w:r>
    </w:p>
    <w:p>
      <w:pPr>
        <w:numPr>
          <w:ilvl w:val="0"/>
          <w:numId w:val="0"/>
        </w:numPr>
        <w:bidi w:val="0"/>
        <w:jc w:val="left"/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drawing>
          <wp:inline distT="0" distB="0" distL="114300" distR="114300">
            <wp:extent cx="5264785" cy="3049270"/>
            <wp:effectExtent l="0" t="0" r="12065" b="1778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04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思源黑体 CN Normal">
    <w:altName w:val="黑体"/>
    <w:panose1 w:val="020B0400000000000000"/>
    <w:charset w:val="86"/>
    <w:family w:val="auto"/>
    <w:pitch w:val="default"/>
    <w:sig w:usb0="00000000" w:usb1="00000000" w:usb2="00000016" w:usb3="00000000" w:csb0="60060107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B974E32"/>
    <w:multiLevelType w:val="multilevel"/>
    <w:tmpl w:val="0B974E3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abstractNum w:abstractNumId="1">
    <w:nsid w:val="62CCDC0E"/>
    <w:multiLevelType w:val="singleLevel"/>
    <w:tmpl w:val="62CCDC0E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IwNGM0NDNjMTZlNjkwYzdhMWUwMzcwOTg0YjY4MmUifQ=="/>
  </w:docVars>
  <w:rsids>
    <w:rsidRoot w:val="14EC32A8"/>
    <w:rsid w:val="0AC62940"/>
    <w:rsid w:val="14EC32A8"/>
    <w:rsid w:val="4AD863DD"/>
    <w:rsid w:val="50D641CE"/>
    <w:rsid w:val="60BB3A32"/>
    <w:rsid w:val="7EDC1F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1"/>
    <w:basedOn w:val="1"/>
    <w:next w:val="1"/>
    <w:qFormat/>
    <w:uiPriority w:val="0"/>
  </w:style>
  <w:style w:type="paragraph" w:customStyle="1" w:styleId="5">
    <w:name w:val="WPSOffice手动目录 1"/>
    <w:uiPriority w:val="0"/>
    <w:pPr>
      <w:ind w:leftChars="0"/>
    </w:pPr>
    <w:rPr>
      <w:sz w:val="20"/>
      <w:szCs w:val="20"/>
    </w:rPr>
  </w:style>
  <w:style w:type="paragraph" w:customStyle="1" w:styleId="6">
    <w:name w:val="WPSOffice手动目录 2"/>
    <w:uiPriority w:val="0"/>
    <w:pPr>
      <w:ind w:leftChars="200"/>
    </w:pPr>
    <w:rPr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1736</Words>
  <Characters>2012</Characters>
  <Lines>0</Lines>
  <Paragraphs>0</Paragraphs>
  <TotalTime>0</TotalTime>
  <ScaleCrop>false</ScaleCrop>
  <LinksUpToDate>false</LinksUpToDate>
  <CharactersWithSpaces>2047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2022-08-24T05:25:00Z</dcterms:created>
  <dc:creator>1</dc:creator>
  <cp:lastModifiedBy>1</cp:lastModifiedBy>
  <dcterms:modified xsi:type="dcterms:W3CDTF">2022-11-15T07:21:07Z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140420BF6C8C487A9FE61EA44B2EB3AC</vt:lpwstr>
  </property>
</Properties>
</file>