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6"/>
        <w:tabs>
          <w:tab w:val="right" w:leader="dot" w:pos="8306"/>
        </w:tabs>
        <w:jc w:val="center"/>
        <w:rPr>
          <w:rFonts w:hint="eastAsia" w:ascii="思源黑体 CN Normal" w:hAnsi="思源黑体 CN Normal" w:eastAsia="思源黑体 CN Normal" w:cs="思源黑体 CN Normal"/>
          <w:b/>
          <w:bCs/>
          <w:sz w:val="52"/>
          <w:szCs w:val="52"/>
          <w:lang w:val="en-US" w:eastAsia="zh-CN"/>
        </w:rPr>
      </w:pPr>
    </w:p>
    <w:p>
      <w:pPr>
        <w:pStyle w:val="6"/>
        <w:tabs>
          <w:tab w:val="right" w:leader="dot" w:pos="8306"/>
        </w:tabs>
        <w:jc w:val="center"/>
        <w:rPr>
          <w:rFonts w:hint="eastAsia" w:ascii="思源黑体 CN Normal" w:hAnsi="思源黑体 CN Normal" w:eastAsia="思源黑体 CN Normal" w:cs="思源黑体 CN Normal"/>
          <w:b/>
          <w:bCs/>
          <w:sz w:val="52"/>
          <w:szCs w:val="52"/>
          <w:lang w:val="en-US" w:eastAsia="zh-CN"/>
        </w:rPr>
      </w:pPr>
    </w:p>
    <w:p>
      <w:pPr>
        <w:pStyle w:val="6"/>
        <w:tabs>
          <w:tab w:val="right" w:leader="dot" w:pos="8306"/>
        </w:tabs>
        <w:jc w:val="center"/>
        <w:rPr>
          <w:rFonts w:hint="eastAsia" w:ascii="思源黑体 CN Normal" w:hAnsi="思源黑体 CN Normal" w:eastAsia="思源黑体 CN Normal" w:cs="思源黑体 CN Normal"/>
          <w:b/>
          <w:bCs/>
          <w:sz w:val="52"/>
          <w:szCs w:val="52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b/>
          <w:bCs/>
          <w:sz w:val="52"/>
          <w:szCs w:val="52"/>
          <w:lang w:val="en-US" w:eastAsia="zh-CN"/>
        </w:rPr>
        <w:t>AHAI6256上位机软件</w:t>
      </w:r>
    </w:p>
    <w:p>
      <w:pPr>
        <w:pStyle w:val="6"/>
        <w:tabs>
          <w:tab w:val="right" w:leader="dot" w:pos="8306"/>
        </w:tabs>
        <w:jc w:val="center"/>
        <w:rPr>
          <w:rFonts w:hint="default" w:ascii="思源黑体 CN Normal" w:hAnsi="思源黑体 CN Normal" w:eastAsia="思源黑体 CN Normal" w:cs="思源黑体 CN Normal"/>
          <w:b/>
          <w:bCs/>
          <w:sz w:val="52"/>
          <w:szCs w:val="52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b/>
          <w:bCs/>
          <w:sz w:val="52"/>
          <w:szCs w:val="52"/>
          <w:lang w:val="en-US" w:eastAsia="zh-CN"/>
        </w:rPr>
        <w:t>使用说明（振动）</w:t>
      </w:r>
    </w:p>
    <w:p>
      <w:pPr>
        <w:rPr>
          <w:rFonts w:hint="eastAsia" w:ascii="思源黑体 CN Normal" w:hAnsi="思源黑体 CN Normal" w:eastAsia="思源黑体 CN Normal" w:cs="思源黑体 CN Normal"/>
          <w:b/>
          <w:bCs/>
          <w:sz w:val="52"/>
          <w:szCs w:val="52"/>
          <w:lang w:val="en-US" w:eastAsia="zh-CN"/>
        </w:rPr>
      </w:pPr>
    </w:p>
    <w:p>
      <w:pPr>
        <w:jc w:val="center"/>
        <w:rPr>
          <w:rFonts w:hint="eastAsia" w:ascii="Times New Roman" w:hAnsi="Times New Roman"/>
          <w:b/>
          <w:sz w:val="36"/>
          <w:szCs w:val="36"/>
        </w:rPr>
      </w:pPr>
      <w:r>
        <w:rPr>
          <w:rFonts w:hint="eastAsia" w:ascii="Times New Roman" w:hAnsi="Times New Roman"/>
          <w:b/>
          <w:sz w:val="36"/>
          <w:szCs w:val="36"/>
        </w:rPr>
        <w:drawing>
          <wp:inline distT="0" distB="0" distL="114300" distR="114300">
            <wp:extent cx="2227580" cy="2227580"/>
            <wp:effectExtent l="0" t="0" r="1270" b="1270"/>
            <wp:docPr id="15" name="图片 14" descr="lALPGpqNan0Z_hzNAgDNAgA_512_5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 descr="lALPGpqNan0Z_hzNAgDNAgA_512_51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227580" cy="22275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Times New Roman" w:hAnsi="Times New Roman"/>
          <w:b/>
          <w:sz w:val="36"/>
          <w:szCs w:val="36"/>
        </w:rPr>
      </w:pPr>
    </w:p>
    <w:p>
      <w:pPr>
        <w:jc w:val="center"/>
        <w:rPr>
          <w:rFonts w:hint="eastAsia" w:ascii="Times New Roman" w:hAnsi="Times New Roman"/>
          <w:b/>
          <w:sz w:val="36"/>
          <w:szCs w:val="36"/>
        </w:rPr>
      </w:pPr>
    </w:p>
    <w:p>
      <w:pPr>
        <w:jc w:val="center"/>
        <w:rPr>
          <w:rFonts w:hint="eastAsia" w:ascii="Times New Roman" w:hAnsi="Times New Roman"/>
          <w:b/>
          <w:sz w:val="36"/>
          <w:szCs w:val="36"/>
        </w:rPr>
      </w:pPr>
    </w:p>
    <w:p>
      <w:pPr>
        <w:jc w:val="center"/>
        <w:rPr>
          <w:rFonts w:hint="eastAsia" w:ascii="Times New Roman" w:hAnsi="Times New Roman"/>
          <w:b/>
          <w:sz w:val="36"/>
          <w:szCs w:val="36"/>
        </w:rPr>
      </w:pPr>
    </w:p>
    <w:p>
      <w:pPr>
        <w:jc w:val="center"/>
        <w:rPr>
          <w:rFonts w:hint="eastAsia" w:ascii="思源黑体 CN Normal" w:hAnsi="思源黑体 CN Normal" w:eastAsia="思源黑体 CN Normal" w:cs="思源黑体 CN Normal"/>
          <w:b/>
          <w:bCs w:val="0"/>
          <w:sz w:val="28"/>
          <w:szCs w:val="28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b/>
          <w:bCs w:val="0"/>
          <w:sz w:val="28"/>
          <w:szCs w:val="28"/>
          <w:lang w:val="en-US" w:eastAsia="zh-CN"/>
        </w:rPr>
        <w:t>杭州爱华智能科技有限公司</w:t>
      </w:r>
    </w:p>
    <w:p>
      <w:pPr>
        <w:jc w:val="center"/>
        <w:rPr>
          <w:rFonts w:hint="eastAsia" w:ascii="思源黑体 CN Normal" w:hAnsi="思源黑体 CN Normal" w:eastAsia="思源黑体 CN Normal" w:cs="思源黑体 CN Normal"/>
          <w:b/>
          <w:bCs w:val="0"/>
          <w:sz w:val="28"/>
          <w:szCs w:val="28"/>
          <w:lang w:val="en-US" w:eastAsia="zh-CN"/>
        </w:rPr>
      </w:pPr>
    </w:p>
    <w:p>
      <w:pPr>
        <w:jc w:val="center"/>
        <w:rPr>
          <w:rFonts w:hint="default" w:ascii="思源黑体 CN Normal" w:hAnsi="思源黑体 CN Normal" w:eastAsia="思源黑体 CN Normal" w:cs="思源黑体 CN Normal"/>
          <w:b/>
          <w:bCs w:val="0"/>
          <w:sz w:val="28"/>
          <w:szCs w:val="28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思源黑体 CN Normal" w:hAnsi="思源黑体 CN Normal" w:eastAsia="思源黑体 CN Normal" w:cs="思源黑体 CN Normal"/>
          <w:b/>
          <w:bCs w:val="0"/>
          <w:sz w:val="28"/>
          <w:szCs w:val="28"/>
          <w:lang w:val="en-US" w:eastAsia="zh-CN"/>
        </w:rPr>
        <w:t>2022.08</w:t>
      </w:r>
    </w:p>
    <w:p>
      <w:pPr>
        <w:pStyle w:val="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="思源黑体 CN Normal" w:hAnsi="思源黑体 CN Normal" w:eastAsia="思源黑体 CN Normal" w:cs="思源黑体 CN Normal"/>
          <w:sz w:val="28"/>
          <w:szCs w:val="28"/>
          <w:lang w:val="en-US" w:eastAsia="zh-CN"/>
        </w:rPr>
        <w:fldChar w:fldCharType="begin"/>
      </w:r>
      <w:r>
        <w:rPr>
          <w:rFonts w:hint="eastAsia" w:ascii="思源黑体 CN Normal" w:hAnsi="思源黑体 CN Normal" w:eastAsia="思源黑体 CN Normal" w:cs="思源黑体 CN Normal"/>
          <w:sz w:val="28"/>
          <w:szCs w:val="28"/>
          <w:lang w:val="en-US" w:eastAsia="zh-CN"/>
        </w:rPr>
        <w:instrText xml:space="preserve">TOC \o "1-3" \h \u </w:instrText>
      </w:r>
      <w:r>
        <w:rPr>
          <w:rFonts w:hint="eastAsia" w:ascii="思源黑体 CN Normal" w:hAnsi="思源黑体 CN Normal" w:eastAsia="思源黑体 CN Normal" w:cs="思源黑体 CN Normal"/>
          <w:sz w:val="28"/>
          <w:szCs w:val="28"/>
          <w:lang w:val="en-US" w:eastAsia="zh-CN"/>
        </w:rPr>
        <w:fldChar w:fldCharType="separate"/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begin"/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instrText xml:space="preserve"> HYPERLINK \l _Toc22023 </w:instrText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separate"/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t>1.仪器设置与连接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hint="eastAsia" w:cstheme="minorBidi"/>
          <w:kern w:val="2"/>
          <w:szCs w:val="24"/>
          <w:lang w:val="en-US" w:eastAsia="zh-CN" w:bidi="ar-SA"/>
        </w:rPr>
        <w:t>3</w:t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end"/>
      </w:r>
    </w:p>
    <w:p>
      <w:pPr>
        <w:pStyle w:val="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begin"/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instrText xml:space="preserve"> HYPERLINK \l _Toc15746 </w:instrText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</w:t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t>. 软件使用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hint="eastAsia" w:cstheme="minorBidi"/>
          <w:kern w:val="2"/>
          <w:szCs w:val="24"/>
          <w:lang w:val="en-US" w:eastAsia="zh-CN" w:bidi="ar-SA"/>
        </w:rPr>
        <w:t>4</w:t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begin"/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instrText xml:space="preserve"> HYPERLINK \l _Toc15900 </w:instrText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separate"/>
      </w:r>
      <w:r>
        <w:rPr>
          <w:rFonts w:hint="eastAsia" w:ascii="思源黑体 CN Normal" w:hAnsi="思源黑体 CN Normal" w:eastAsia="思源黑体 CN Normal" w:cs="思源黑体 CN Normal"/>
          <w:kern w:val="2"/>
          <w:szCs w:val="24"/>
          <w:lang w:val="en-US" w:eastAsia="zh-CN" w:bidi="ar-SA"/>
        </w:rPr>
        <w:t>2.1仪器管理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hint="eastAsia" w:cstheme="minorBidi"/>
          <w:kern w:val="2"/>
          <w:szCs w:val="24"/>
          <w:lang w:val="en-US" w:eastAsia="zh-CN" w:bidi="ar-SA"/>
        </w:rPr>
        <w:t>4</w:t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begin"/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instrText xml:space="preserve"> HYPERLINK \l _Toc10202 </w:instrText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separate"/>
      </w:r>
      <w:r>
        <w:rPr>
          <w:rFonts w:hint="eastAsia" w:ascii="思源黑体 CN Normal" w:hAnsi="思源黑体 CN Normal" w:eastAsia="思源黑体 CN Normal" w:cs="思源黑体 CN Normal"/>
          <w:kern w:val="2"/>
          <w:szCs w:val="24"/>
          <w:lang w:val="en-US" w:eastAsia="zh-CN" w:bidi="ar-SA"/>
        </w:rPr>
        <w:t>2.2数据管理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hint="eastAsia" w:cstheme="minorBidi"/>
          <w:kern w:val="2"/>
          <w:szCs w:val="24"/>
          <w:lang w:val="en-US" w:eastAsia="zh-CN" w:bidi="ar-SA"/>
        </w:rPr>
        <w:t>5</w:t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end"/>
      </w:r>
    </w:p>
    <w:p>
      <w:pPr>
        <w:pStyle w:val="4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begin"/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instrText xml:space="preserve"> HYPERLINK \l _Toc13808 </w:instrText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separate"/>
      </w:r>
      <w:r>
        <w:rPr>
          <w:rFonts w:hint="eastAsia" w:ascii="思源黑体 CN Normal" w:hAnsi="思源黑体 CN Normal" w:eastAsia="思源黑体 CN Normal" w:cs="思源黑体 CN Normal"/>
          <w:kern w:val="2"/>
          <w:szCs w:val="24"/>
          <w:lang w:val="en-US" w:eastAsia="zh-CN" w:bidi="ar-SA"/>
        </w:rPr>
        <w:t>2.2.1读取数据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hint="eastAsia" w:cstheme="minorBidi"/>
          <w:kern w:val="2"/>
          <w:szCs w:val="24"/>
          <w:lang w:val="en-US" w:eastAsia="zh-CN" w:bidi="ar-SA"/>
        </w:rPr>
        <w:t>5</w:t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end"/>
      </w:r>
    </w:p>
    <w:p>
      <w:pPr>
        <w:pStyle w:val="4"/>
        <w:tabs>
          <w:tab w:val="right" w:leader="dot" w:pos="8306"/>
        </w:tabs>
        <w:rPr>
          <w:rFonts w:hint="default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begin"/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instrText xml:space="preserve"> HYPERLINK \l _Toc16368 </w:instrText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separate"/>
      </w:r>
      <w:r>
        <w:rPr>
          <w:rFonts w:hint="eastAsia" w:ascii="思源黑体 CN Normal" w:hAnsi="思源黑体 CN Normal" w:eastAsia="思源黑体 CN Normal" w:cs="思源黑体 CN Normal"/>
          <w:kern w:val="2"/>
          <w:szCs w:val="24"/>
          <w:lang w:val="en-US" w:eastAsia="zh-CN" w:bidi="ar-SA"/>
        </w:rPr>
        <w:t>2.2.2数据导出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hint="eastAsia" w:cstheme="minorBidi"/>
          <w:kern w:val="2"/>
          <w:szCs w:val="24"/>
          <w:lang w:val="en-US" w:eastAsia="zh-CN" w:bidi="ar-SA"/>
        </w:rPr>
        <w:t>1</w:t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end"/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t>0</w:t>
      </w:r>
    </w:p>
    <w:p>
      <w:pPr>
        <w:pStyle w:val="4"/>
        <w:tabs>
          <w:tab w:val="right" w:leader="dot" w:pos="8306"/>
        </w:tabs>
        <w:rPr>
          <w:rFonts w:hint="default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begin"/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instrText xml:space="preserve"> HYPERLINK \l _Toc669 </w:instrText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separate"/>
      </w:r>
      <w:r>
        <w:rPr>
          <w:rFonts w:hint="eastAsia" w:ascii="思源黑体 CN Normal" w:hAnsi="思源黑体 CN Normal" w:eastAsia="思源黑体 CN Normal" w:cs="思源黑体 CN Normal"/>
          <w:kern w:val="2"/>
          <w:szCs w:val="24"/>
          <w:lang w:val="en-US" w:eastAsia="zh-CN" w:bidi="ar-SA"/>
        </w:rPr>
        <w:t>2.2.3打开文件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hint="eastAsia" w:cstheme="minorBidi"/>
          <w:kern w:val="2"/>
          <w:szCs w:val="24"/>
          <w:lang w:val="en-US" w:eastAsia="zh-CN" w:bidi="ar-SA"/>
        </w:rPr>
        <w:t>1</w:t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end"/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t>0</w:t>
      </w:r>
    </w:p>
    <w:p>
      <w:pPr>
        <w:pStyle w:val="9"/>
        <w:tabs>
          <w:tab w:val="right" w:leader="dot" w:pos="8306"/>
        </w:tabs>
        <w:rPr>
          <w:rFonts w:hint="default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begin"/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instrText xml:space="preserve"> HYPERLINK \l _Toc24633 </w:instrText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separate"/>
      </w:r>
      <w:r>
        <w:rPr>
          <w:rFonts w:hint="eastAsia" w:ascii="思源黑体 CN Normal" w:hAnsi="思源黑体 CN Normal" w:eastAsia="思源黑体 CN Normal" w:cs="思源黑体 CN Normal"/>
          <w:kern w:val="2"/>
          <w:szCs w:val="24"/>
          <w:lang w:val="en-US" w:eastAsia="zh-CN" w:bidi="ar-SA"/>
        </w:rPr>
        <w:t>2.3实时监测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hint="eastAsia" w:cstheme="minorBidi"/>
          <w:kern w:val="2"/>
          <w:szCs w:val="24"/>
          <w:lang w:val="en-US" w:eastAsia="zh-CN" w:bidi="ar-SA"/>
        </w:rPr>
        <w:t>1</w:t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end"/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t>0</w:t>
      </w:r>
    </w:p>
    <w:p>
      <w:pPr>
        <w:pStyle w:val="4"/>
        <w:tabs>
          <w:tab w:val="right" w:leader="dot" w:pos="8306"/>
        </w:tabs>
        <w:rPr>
          <w:rFonts w:hint="default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begin"/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instrText xml:space="preserve"> HYPERLINK \l _Toc16229 </w:instrText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separate"/>
      </w:r>
      <w:r>
        <w:rPr>
          <w:rFonts w:hint="eastAsia" w:ascii="思源黑体 CN Normal" w:hAnsi="思源黑体 CN Normal" w:eastAsia="思源黑体 CN Normal" w:cs="思源黑体 CN Normal"/>
          <w:kern w:val="2"/>
          <w:szCs w:val="24"/>
          <w:lang w:val="en-US" w:eastAsia="zh-CN" w:bidi="ar-SA"/>
        </w:rPr>
        <w:t>2.3.1 0.5s监测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hint="eastAsia" w:cstheme="minorBidi"/>
          <w:kern w:val="2"/>
          <w:szCs w:val="24"/>
          <w:lang w:val="en-US" w:eastAsia="zh-CN" w:bidi="ar-SA"/>
        </w:rPr>
        <w:t>1</w:t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end"/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t>0</w:t>
      </w:r>
    </w:p>
    <w:p>
      <w:pPr>
        <w:pStyle w:val="4"/>
        <w:tabs>
          <w:tab w:val="right" w:leader="dot" w:pos="8306"/>
        </w:tabs>
        <w:rPr>
          <w:rFonts w:hint="default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begin"/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instrText xml:space="preserve"> HYPERLINK \l _Toc16148 </w:instrText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separate"/>
      </w:r>
      <w:r>
        <w:rPr>
          <w:rFonts w:hint="eastAsia" w:ascii="思源黑体 CN Normal" w:hAnsi="思源黑体 CN Normal" w:eastAsia="思源黑体 CN Normal" w:cs="思源黑体 CN Normal"/>
          <w:kern w:val="2"/>
          <w:szCs w:val="24"/>
          <w:lang w:val="en-US" w:eastAsia="zh-CN" w:bidi="ar-SA"/>
        </w:rPr>
        <w:t>2.3.2 瞬时监测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end"/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t>11</w:t>
      </w:r>
    </w:p>
    <w:p>
      <w:pPr>
        <w:pStyle w:val="9"/>
        <w:tabs>
          <w:tab w:val="right" w:leader="dot" w:pos="8306"/>
        </w:tabs>
        <w:rPr>
          <w:rFonts w:hint="default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begin"/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instrText xml:space="preserve"> HYPERLINK \l _Toc6371 </w:instrText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separate"/>
      </w:r>
      <w:r>
        <w:rPr>
          <w:rFonts w:hint="eastAsia" w:ascii="思源黑体 CN Normal" w:hAnsi="思源黑体 CN Normal" w:eastAsia="思源黑体 CN Normal" w:cs="思源黑体 CN Normal"/>
          <w:kern w:val="2"/>
          <w:szCs w:val="24"/>
          <w:lang w:val="en-US" w:eastAsia="zh-CN" w:bidi="ar-SA"/>
        </w:rPr>
        <w:t>2.4 校准管理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end"/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t>11</w:t>
      </w:r>
    </w:p>
    <w:p>
      <w:pPr>
        <w:pStyle w:val="9"/>
        <w:tabs>
          <w:tab w:val="right" w:leader="dot" w:pos="8306"/>
        </w:tabs>
        <w:rPr>
          <w:rFonts w:hint="default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begin"/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instrText xml:space="preserve"> HYPERLINK \l _Toc12177 </w:instrText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separate"/>
      </w:r>
      <w:r>
        <w:rPr>
          <w:rFonts w:hint="eastAsia" w:ascii="思源黑体 CN Normal" w:hAnsi="思源黑体 CN Normal" w:eastAsia="思源黑体 CN Normal" w:cs="思源黑体 CN Normal"/>
          <w:kern w:val="2"/>
          <w:szCs w:val="24"/>
          <w:lang w:val="en-US" w:eastAsia="zh-CN" w:bidi="ar-SA"/>
        </w:rPr>
        <w:t>2.5 基本信息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end"/>
      </w: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t>12</w:t>
      </w: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8"/>
          <w:szCs w:val="28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kern w:val="2"/>
          <w:szCs w:val="28"/>
          <w:lang w:val="en-US" w:eastAsia="zh-CN" w:bidi="ar-SA"/>
        </w:rPr>
        <w:fldChar w:fldCharType="end"/>
      </w:r>
    </w:p>
    <w:p>
      <w:pPr>
        <w:numPr>
          <w:ilvl w:val="0"/>
          <w:numId w:val="1"/>
        </w:numPr>
        <w:rPr>
          <w:rFonts w:hint="eastAsia" w:ascii="思源黑体 CN Normal" w:hAnsi="思源黑体 CN Normal" w:eastAsia="思源黑体 CN Normal" w:cs="思源黑体 CN Normal"/>
          <w:sz w:val="28"/>
          <w:szCs w:val="28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8"/>
          <w:szCs w:val="28"/>
          <w:lang w:val="en-US" w:eastAsia="zh-CN"/>
        </w:rPr>
        <w:br w:type="page"/>
      </w:r>
      <w:bookmarkStart w:id="12" w:name="_GoBack"/>
      <w:bookmarkEnd w:id="12"/>
    </w:p>
    <w:p>
      <w:pPr>
        <w:numPr>
          <w:ilvl w:val="0"/>
          <w:numId w:val="0"/>
        </w:numPr>
        <w:outlineLvl w:val="0"/>
        <w:rPr>
          <w:rFonts w:hint="eastAsia" w:ascii="思源黑体 CN Normal" w:hAnsi="思源黑体 CN Normal" w:eastAsia="思源黑体 CN Normal" w:cs="思源黑体 CN Normal"/>
          <w:sz w:val="28"/>
          <w:szCs w:val="28"/>
          <w:lang w:val="en-US" w:eastAsia="zh-CN"/>
        </w:rPr>
      </w:pPr>
      <w:bookmarkStart w:id="0" w:name="_Toc22023"/>
      <w:r>
        <w:rPr>
          <w:rFonts w:hint="eastAsia" w:ascii="思源黑体 CN Normal" w:hAnsi="思源黑体 CN Normal" w:eastAsia="思源黑体 CN Normal" w:cs="思源黑体 CN Normal"/>
          <w:sz w:val="28"/>
          <w:szCs w:val="28"/>
          <w:lang w:val="en-US" w:eastAsia="zh-CN"/>
        </w:rPr>
        <w:t>1.仪器设置与连接</w:t>
      </w:r>
      <w:bookmarkEnd w:id="0"/>
    </w:p>
    <w:p>
      <w:pPr>
        <w:numPr>
          <w:ilvl w:val="0"/>
          <w:numId w:val="0"/>
        </w:numPr>
        <w:ind w:firstLine="420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仪器与上位机软件通信可以使用串口通信或使用USB通信。</w:t>
      </w:r>
    </w:p>
    <w:p>
      <w:pPr>
        <w:numPr>
          <w:ilvl w:val="0"/>
          <w:numId w:val="2"/>
        </w:numPr>
        <w:ind w:left="420" w:leftChars="0" w:hanging="420" w:firstLineChars="0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串口通信：</w:t>
      </w:r>
    </w:p>
    <w:p>
      <w:pPr>
        <w:numPr>
          <w:ilvl w:val="0"/>
          <w:numId w:val="0"/>
        </w:numPr>
        <w:ind w:firstLine="420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将串口线与电脑主机相连，仪器内部串口设置为AHAI协议，波特率115200。</w:t>
      </w:r>
    </w:p>
    <w:p>
      <w:pPr>
        <w:numPr>
          <w:ilvl w:val="0"/>
          <w:numId w:val="0"/>
        </w:numPr>
        <w:jc w:val="center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drawing>
          <wp:inline distT="0" distB="0" distL="114300" distR="114300">
            <wp:extent cx="3390900" cy="4200525"/>
            <wp:effectExtent l="0" t="0" r="0" b="9525"/>
            <wp:docPr id="20" name="图片 20" descr="85e1eed8eebeea4bfdde16d7a84d2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85e1eed8eebeea4bfdde16d7a84d22c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420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仪器设置步骤：</w:t>
      </w: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 xml:space="preserve"> 1、 开机进入第二项仪器设置。</w:t>
      </w: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 xml:space="preserve"> </w:t>
      </w:r>
      <w:r>
        <w:drawing>
          <wp:inline distT="0" distB="0" distL="114300" distR="114300">
            <wp:extent cx="2314575" cy="2686050"/>
            <wp:effectExtent l="0" t="0" r="9525" b="0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 xml:space="preserve">   </w:t>
      </w: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</w:p>
    <w:p>
      <w:pPr>
        <w:numPr>
          <w:ilvl w:val="0"/>
          <w:numId w:val="3"/>
        </w:numPr>
        <w:jc w:val="both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仪器设置界面进入第三项硬件设置。</w:t>
      </w:r>
    </w:p>
    <w:p>
      <w:pPr>
        <w:numPr>
          <w:ilvl w:val="0"/>
          <w:numId w:val="0"/>
        </w:numPr>
        <w:jc w:val="both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drawing>
          <wp:inline distT="0" distB="0" distL="114300" distR="114300">
            <wp:extent cx="2314575" cy="3048000"/>
            <wp:effectExtent l="0" t="0" r="9525" b="0"/>
            <wp:docPr id="10" name="图片 10" descr="013531dc48b6f5cc2627e435e7cfff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013531dc48b6f5cc2627e435e7cfffe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3、进入硬件设置的第一项串口设置将波特率调整为115200，通信协议设置为AHAI。</w:t>
      </w: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drawing>
          <wp:inline distT="0" distB="0" distL="114300" distR="114300">
            <wp:extent cx="2333625" cy="3133725"/>
            <wp:effectExtent l="0" t="0" r="9525" b="9525"/>
            <wp:docPr id="11" name="图片 11" descr="c38896128b39d09d39edce9052ab7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c38896128b39d09d39edce9052ab76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33625" cy="3133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420" w:leftChars="0" w:hanging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USB通信：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使用USB线将仪器与电脑连接即可。</w:t>
      </w:r>
    </w:p>
    <w:p>
      <w:pPr>
        <w:numPr>
          <w:ilvl w:val="0"/>
          <w:numId w:val="1"/>
        </w:numPr>
        <w:outlineLvl w:val="0"/>
        <w:rPr>
          <w:rFonts w:hint="eastAsia" w:ascii="思源黑体 CN Normal" w:hAnsi="思源黑体 CN Normal" w:eastAsia="思源黑体 CN Normal" w:cs="思源黑体 CN Normal"/>
          <w:sz w:val="28"/>
          <w:szCs w:val="28"/>
          <w:lang w:val="en-US" w:eastAsia="zh-CN"/>
        </w:rPr>
      </w:pPr>
      <w:bookmarkStart w:id="1" w:name="_Toc15746"/>
      <w:r>
        <w:rPr>
          <w:rFonts w:hint="eastAsia" w:ascii="思源黑体 CN Normal" w:hAnsi="思源黑体 CN Normal" w:eastAsia="思源黑体 CN Normal" w:cs="思源黑体 CN Normal"/>
          <w:sz w:val="28"/>
          <w:szCs w:val="28"/>
          <w:lang w:val="en-US" w:eastAsia="zh-CN"/>
        </w:rPr>
        <w:t>软件使用</w:t>
      </w:r>
      <w:bookmarkEnd w:id="1"/>
    </w:p>
    <w:p>
      <w:pPr>
        <w:numPr>
          <w:ilvl w:val="0"/>
          <w:numId w:val="0"/>
        </w:numPr>
        <w:outlineLvl w:val="1"/>
        <w:rPr>
          <w:rFonts w:hint="eastAsia" w:ascii="思源黑体 CN Normal" w:hAnsi="思源黑体 CN Normal" w:eastAsia="思源黑体 CN Normal" w:cs="思源黑体 CN Normal"/>
          <w:sz w:val="24"/>
          <w:szCs w:val="24"/>
          <w:lang w:val="en-US" w:eastAsia="zh-CN"/>
        </w:rPr>
      </w:pPr>
      <w:bookmarkStart w:id="2" w:name="_Toc15900"/>
      <w:r>
        <w:rPr>
          <w:rFonts w:hint="eastAsia" w:ascii="思源黑体 CN Normal" w:hAnsi="思源黑体 CN Normal" w:eastAsia="思源黑体 CN Normal" w:cs="思源黑体 CN Normal"/>
          <w:sz w:val="24"/>
          <w:szCs w:val="24"/>
          <w:lang w:val="en-US" w:eastAsia="zh-CN"/>
        </w:rPr>
        <w:t>2.1仪器管理</w:t>
      </w:r>
      <w:bookmarkEnd w:id="2"/>
    </w:p>
    <w:p>
      <w:pPr>
        <w:numPr>
          <w:ilvl w:val="0"/>
          <w:numId w:val="0"/>
        </w:numPr>
        <w:ind w:firstLine="420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软件启动后首先进入仪器管理界面，在此界面选择仪器与电脑相连的通信方式。选择串口通信时需设置串口号，波特率选择115200即可。</w:t>
      </w:r>
    </w:p>
    <w:p>
      <w:pPr>
        <w:numPr>
          <w:ilvl w:val="0"/>
          <w:numId w:val="0"/>
        </w:numPr>
        <w:ind w:firstLine="420"/>
        <w:rPr>
          <w:rFonts w:hint="eastAsia" w:eastAsiaTheme="minorEastAsia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仪器管理界面显示了仪器信息和仪器图片。</w:t>
      </w:r>
    </w:p>
    <w:p>
      <w:pPr>
        <w:numPr>
          <w:ilvl w:val="0"/>
          <w:numId w:val="0"/>
        </w:numPr>
        <w:ind w:firstLine="420"/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3848735</wp:posOffset>
            </wp:positionH>
            <wp:positionV relativeFrom="paragraph">
              <wp:posOffset>554355</wp:posOffset>
            </wp:positionV>
            <wp:extent cx="1637665" cy="2562860"/>
            <wp:effectExtent l="0" t="0" r="635" b="8890"/>
            <wp:wrapNone/>
            <wp:docPr id="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37665" cy="256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88915" cy="3194685"/>
            <wp:effectExtent l="0" t="0" r="6985" b="5715"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88915" cy="319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outlineLvl w:val="1"/>
        <w:rPr>
          <w:rFonts w:hint="eastAsia" w:ascii="思源黑体 CN Normal" w:hAnsi="思源黑体 CN Normal" w:eastAsia="思源黑体 CN Normal" w:cs="思源黑体 CN Normal"/>
          <w:sz w:val="24"/>
          <w:szCs w:val="24"/>
          <w:lang w:val="en-US" w:eastAsia="zh-CN"/>
        </w:rPr>
      </w:pPr>
      <w:bookmarkStart w:id="3" w:name="_Toc10202"/>
      <w:r>
        <w:rPr>
          <w:rFonts w:hint="eastAsia" w:ascii="思源黑体 CN Normal" w:hAnsi="思源黑体 CN Normal" w:eastAsia="思源黑体 CN Normal" w:cs="思源黑体 CN Normal"/>
          <w:sz w:val="24"/>
          <w:szCs w:val="24"/>
          <w:lang w:val="en-US" w:eastAsia="zh-CN"/>
        </w:rPr>
        <w:t>2.2数据管理</w:t>
      </w:r>
      <w:bookmarkEnd w:id="3"/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 xml:space="preserve">    仪器与电脑连接后，点击数据管理界面，即可进行数据读取等操作。</w:t>
      </w:r>
    </w:p>
    <w:p>
      <w:pPr>
        <w:numPr>
          <w:ilvl w:val="0"/>
          <w:numId w:val="0"/>
        </w:numPr>
        <w:outlineLvl w:val="2"/>
        <w:rPr>
          <w:rFonts w:hint="eastAsia" w:ascii="思源黑体 CN Normal" w:hAnsi="思源黑体 CN Normal" w:eastAsia="思源黑体 CN Normal" w:cs="思源黑体 CN Normal"/>
          <w:lang w:val="en-US" w:eastAsia="zh-CN"/>
        </w:rPr>
      </w:pPr>
      <w:bookmarkStart w:id="4" w:name="_Toc13808"/>
      <w:r>
        <w:rPr>
          <w:rFonts w:hint="eastAsia" w:ascii="思源黑体 CN Normal" w:hAnsi="思源黑体 CN Normal" w:eastAsia="思源黑体 CN Normal" w:cs="思源黑体 CN Normal"/>
          <w:lang w:val="en-US" w:eastAsia="zh-CN"/>
        </w:rPr>
        <w:t>2.2.1读取统计数据</w:t>
      </w:r>
      <w:bookmarkEnd w:id="4"/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 xml:space="preserve">    点击读取统计数据，将仪器内部的统计数据读取至软件界面。数据读取成功后双击左侧已读取到的数据，即可显示数据图像。</w:t>
      </w: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统计分析：</w:t>
      </w: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 xml:space="preserve">    统计分析图像显示如图，图像左侧坐标轴为Wx、Wz相关指标坐标轴。点击右上角全部选中的按钮，可以选择进行图像显示的指标。</w:t>
      </w:r>
    </w:p>
    <w:p>
      <w:pPr>
        <w:numPr>
          <w:ilvl w:val="0"/>
          <w:numId w:val="0"/>
        </w:numPr>
        <w:jc w:val="both"/>
      </w:pPr>
      <w:r>
        <w:drawing>
          <wp:inline distT="0" distB="0" distL="114300" distR="114300">
            <wp:extent cx="5269865" cy="3299460"/>
            <wp:effectExtent l="0" t="0" r="6985" b="15240"/>
            <wp:docPr id="2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29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Stat-LOG：</w:t>
      </w:r>
    </w:p>
    <w:p>
      <w:pPr>
        <w:numPr>
          <w:ilvl w:val="0"/>
          <w:numId w:val="0"/>
        </w:numPr>
        <w:rPr>
          <w:rFonts w:hint="default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 xml:space="preserve">    Stat-LOG图像如图所示，图像左侧为Lap_e1、Lwz_e1相关指标坐标轴。点击右上角全部选中的按钮，可以选择进行图像显示的指标。</w:t>
      </w:r>
    </w:p>
    <w:p>
      <w:pPr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69865" cy="3299460"/>
            <wp:effectExtent l="0" t="0" r="6985" b="15240"/>
            <wp:docPr id="2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29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工作测振仪：</w:t>
      </w: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 xml:space="preserve">    工作测振仪图像显示如图，图像显示的为Vibrate ini数据的图像。点击右上角全部选中的按钮，可以选择进行图像显示的指标。</w:t>
      </w:r>
    </w:p>
    <w:p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5269865" cy="3299460"/>
            <wp:effectExtent l="0" t="0" r="6985" b="15240"/>
            <wp:docPr id="2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29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VIB-LOG</w:t>
      </w:r>
    </w:p>
    <w:p>
      <w:pPr>
        <w:numPr>
          <w:ilvl w:val="0"/>
          <w:numId w:val="0"/>
        </w:numPr>
        <w:rPr>
          <w:rFonts w:hint="default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 xml:space="preserve">    VIB-LOG图像显示如图，图像显示的是a、v、d相关数据图像。点击右上角全部选中按钮，可以选择进行图像显示的指标。</w:t>
      </w:r>
    </w:p>
    <w:p>
      <w:pPr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69865" cy="3299460"/>
            <wp:effectExtent l="0" t="0" r="6985" b="15240"/>
            <wp:docPr id="2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29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低频1/3OCT</w:t>
      </w:r>
    </w:p>
    <w:p>
      <w:pPr>
        <w:numPr>
          <w:ilvl w:val="0"/>
          <w:numId w:val="0"/>
        </w:numPr>
        <w:rPr>
          <w:rFonts w:hint="default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 xml:space="preserve">   低频1/3OCT图像显示如图，图像显示的是LF、LS、LeqT相关数据图像。点击右上角全部选中按钮，可以选择进行图像显示的指标。</w:t>
      </w: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drawing>
          <wp:inline distT="0" distB="0" distL="114300" distR="114300">
            <wp:extent cx="5269865" cy="3299460"/>
            <wp:effectExtent l="0" t="0" r="6985" b="152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29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1/3OCT：</w:t>
      </w: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 xml:space="preserve">    1/3OCT图像显示如图，图像左侧显示的坐标轴为VS、VF、VeqT相关指标的坐标轴，点击右上角全部选中的按钮，可以选择进行图像显示的指标。</w:t>
      </w:r>
    </w:p>
    <w:p>
      <w:pPr>
        <w:numPr>
          <w:ilvl w:val="0"/>
          <w:numId w:val="0"/>
        </w:numPr>
        <w:jc w:val="center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drawing>
          <wp:inline distT="0" distB="0" distL="114300" distR="114300">
            <wp:extent cx="5269865" cy="3299460"/>
            <wp:effectExtent l="0" t="0" r="6985" b="15240"/>
            <wp:docPr id="2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29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both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手臂振动</w:t>
      </w:r>
    </w:p>
    <w:p>
      <w:pPr>
        <w:numPr>
          <w:ilvl w:val="0"/>
          <w:numId w:val="0"/>
        </w:numPr>
        <w:jc w:val="both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 xml:space="preserve">   手臂振动图像显示如图，图像左侧显示的坐标轴是hand-trans相关指标的坐标轴，点击右上角全部选中的按钮，可以选择进行图像显示的指标。</w:t>
      </w:r>
    </w:p>
    <w:p>
      <w:pPr>
        <w:numPr>
          <w:ilvl w:val="0"/>
          <w:numId w:val="0"/>
        </w:numPr>
        <w:jc w:val="both"/>
      </w:pPr>
      <w:r>
        <w:drawing>
          <wp:inline distT="0" distB="0" distL="114300" distR="114300">
            <wp:extent cx="5269865" cy="3299460"/>
            <wp:effectExtent l="0" t="0" r="6985" b="15240"/>
            <wp:docPr id="2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29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FFT分析仪</w:t>
      </w:r>
    </w:p>
    <w:p>
      <w:pPr>
        <w:numPr>
          <w:ilvl w:val="0"/>
          <w:numId w:val="0"/>
        </w:numPr>
        <w:jc w:val="both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 xml:space="preserve">   FFT分析仪图像显示如图，图像左侧显示的坐标轴是Vmax、Vmin、VeqT相关指标的坐标轴，点击右上角全部选中的按钮，可以选择进行图像显示的指标。</w:t>
      </w:r>
    </w:p>
    <w:p>
      <w:pPr>
        <w:numPr>
          <w:ilvl w:val="0"/>
          <w:numId w:val="0"/>
        </w:numPr>
        <w:jc w:val="both"/>
        <w:rPr>
          <w:rFonts w:hint="default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drawing>
          <wp:inline distT="0" distB="0" distL="114300" distR="114300">
            <wp:extent cx="5269865" cy="3299460"/>
            <wp:effectExtent l="0" t="0" r="6985" b="15240"/>
            <wp:docPr id="3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29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both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列表数据：</w:t>
      </w:r>
    </w:p>
    <w:p>
      <w:pPr>
        <w:numPr>
          <w:ilvl w:val="0"/>
          <w:numId w:val="0"/>
        </w:numPr>
        <w:jc w:val="both"/>
        <w:rPr>
          <w:rFonts w:hint="default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点击右侧按钮，可以将列表数据展开，不同的项目会显示各自全部的数据。如下图所示。</w:t>
      </w:r>
    </w:p>
    <w:p>
      <w:pPr>
        <w:numPr>
          <w:ilvl w:val="0"/>
          <w:numId w:val="0"/>
        </w:numPr>
        <w:jc w:val="both"/>
        <w:rPr>
          <w:rFonts w:hint="default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default" w:ascii="思源黑体 CN Normal" w:hAnsi="思源黑体 CN Normal" w:eastAsia="思源黑体 CN Normal" w:cs="思源黑体 CN Normal"/>
          <w:sz w:val="21"/>
          <w:szCs w:val="21"/>
          <w:lang w:val="en-US" w:eastAsia="zh-CN"/>
        </w:rPr>
        <w:drawing>
          <wp:inline distT="0" distB="0" distL="114300" distR="114300">
            <wp:extent cx="5269865" cy="3299460"/>
            <wp:effectExtent l="0" t="0" r="6985" b="15240"/>
            <wp:docPr id="2" name="图片 2" descr="35e874f161a9de29ea686df5ec7c6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5e874f161a9de29ea686df5ec7c66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299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outlineLvl w:val="2"/>
        <w:rPr>
          <w:rFonts w:hint="eastAsia" w:ascii="思源黑体 CN Normal" w:hAnsi="思源黑体 CN Normal" w:eastAsia="思源黑体 CN Normal" w:cs="思源黑体 CN Normal"/>
          <w:lang w:val="en-US" w:eastAsia="zh-CN"/>
        </w:rPr>
      </w:pPr>
    </w:p>
    <w:p>
      <w:pPr>
        <w:numPr>
          <w:ilvl w:val="0"/>
          <w:numId w:val="0"/>
        </w:numPr>
        <w:outlineLvl w:val="2"/>
        <w:rPr>
          <w:rFonts w:hint="eastAsia" w:ascii="思源黑体 CN Normal" w:hAnsi="思源黑体 CN Normal" w:eastAsia="思源黑体 CN Normal" w:cs="思源黑体 CN Normal"/>
          <w:lang w:val="en-US" w:eastAsia="zh-CN"/>
        </w:rPr>
      </w:pPr>
    </w:p>
    <w:p>
      <w:pPr>
        <w:numPr>
          <w:ilvl w:val="0"/>
          <w:numId w:val="0"/>
        </w:numPr>
        <w:outlineLvl w:val="2"/>
        <w:rPr>
          <w:rFonts w:hint="eastAsia" w:ascii="思源黑体 CN Normal" w:hAnsi="思源黑体 CN Normal" w:eastAsia="思源黑体 CN Normal" w:cs="思源黑体 CN Normal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lang w:val="en-US" w:eastAsia="zh-CN"/>
        </w:rPr>
        <w:t>2.2.2读取操作记录</w:t>
      </w:r>
    </w:p>
    <w:p>
      <w:pPr>
        <w:numPr>
          <w:ilvl w:val="0"/>
          <w:numId w:val="0"/>
        </w:numPr>
        <w:outlineLvl w:val="2"/>
        <w:rPr>
          <w:rFonts w:hint="default" w:ascii="思源黑体 CN Normal" w:hAnsi="思源黑体 CN Normal" w:eastAsia="思源黑体 CN Normal" w:cs="思源黑体 CN Normal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lang w:val="en-US" w:eastAsia="zh-CN"/>
        </w:rPr>
        <w:t>本仪器不支持此功能。</w:t>
      </w:r>
    </w:p>
    <w:p>
      <w:pPr>
        <w:numPr>
          <w:ilvl w:val="0"/>
          <w:numId w:val="0"/>
        </w:numPr>
        <w:outlineLvl w:val="2"/>
        <w:rPr>
          <w:rFonts w:hint="eastAsia" w:ascii="思源黑体 CN Normal" w:hAnsi="思源黑体 CN Normal" w:eastAsia="思源黑体 CN Normal" w:cs="思源黑体 CN Normal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lang w:val="en-US" w:eastAsia="zh-CN"/>
        </w:rPr>
        <w:t>2.2.3 读取时间历程</w:t>
      </w:r>
    </w:p>
    <w:p>
      <w:pPr>
        <w:numPr>
          <w:ilvl w:val="0"/>
          <w:numId w:val="0"/>
        </w:numPr>
        <w:outlineLvl w:val="2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lang w:val="en-US" w:eastAsia="zh-CN"/>
        </w:rPr>
        <w:t>本仪器不支持此功能。</w:t>
      </w:r>
    </w:p>
    <w:p>
      <w:pPr>
        <w:numPr>
          <w:ilvl w:val="0"/>
          <w:numId w:val="0"/>
        </w:numPr>
        <w:outlineLvl w:val="2"/>
        <w:rPr>
          <w:rFonts w:hint="eastAsia" w:ascii="思源黑体 CN Normal" w:hAnsi="思源黑体 CN Normal" w:eastAsia="思源黑体 CN Normal" w:cs="思源黑体 CN Normal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outlineLvl w:val="2"/>
        <w:rPr>
          <w:rFonts w:hint="eastAsia" w:ascii="思源黑体 CN Normal" w:hAnsi="思源黑体 CN Normal" w:eastAsia="思源黑体 CN Normal" w:cs="思源黑体 CN Normal"/>
          <w:lang w:val="en-US" w:eastAsia="zh-CN"/>
        </w:rPr>
      </w:pPr>
      <w:bookmarkStart w:id="5" w:name="_Toc16368"/>
      <w:r>
        <w:rPr>
          <w:rFonts w:hint="eastAsia" w:ascii="思源黑体 CN Normal" w:hAnsi="思源黑体 CN Normal" w:eastAsia="思源黑体 CN Normal" w:cs="思源黑体 CN Normal"/>
          <w:lang w:val="en-US" w:eastAsia="zh-CN"/>
        </w:rPr>
        <w:t>2.2.4数据导出</w:t>
      </w:r>
      <w:bookmarkEnd w:id="5"/>
    </w:p>
    <w:p>
      <w:pPr>
        <w:numPr>
          <w:ilvl w:val="0"/>
          <w:numId w:val="0"/>
        </w:numPr>
        <w:ind w:firstLine="420" w:firstLineChars="0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统计数据读取完成后点击文件导出，可以将读取到的原始数据导出至本地。点击文件导出，选择要保存的位置，输入文件名称即可保存。</w:t>
      </w:r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firstLine="420" w:firstLineChars="0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数据读取完成后点击数据导出，可以将读取到的数据导出至本地。点击数据导出，选择要保存的位置，输入文件名称即可保存。</w:t>
      </w:r>
    </w:p>
    <w:p>
      <w:pPr>
        <w:numPr>
          <w:ilvl w:val="0"/>
          <w:numId w:val="0"/>
        </w:numPr>
        <w:outlineLvl w:val="2"/>
        <w:rPr>
          <w:rFonts w:hint="eastAsia" w:ascii="思源黑体 CN Normal" w:hAnsi="思源黑体 CN Normal" w:eastAsia="思源黑体 CN Normal" w:cs="思源黑体 CN Normal"/>
          <w:lang w:val="en-US" w:eastAsia="zh-CN"/>
        </w:rPr>
      </w:pPr>
      <w:bookmarkStart w:id="6" w:name="_Toc669"/>
      <w:r>
        <w:rPr>
          <w:rFonts w:hint="eastAsia" w:ascii="思源黑体 CN Normal" w:hAnsi="思源黑体 CN Normal" w:eastAsia="思源黑体 CN Normal" w:cs="思源黑体 CN Normal"/>
          <w:lang w:val="en-US" w:eastAsia="zh-CN"/>
        </w:rPr>
        <w:t>2.2.5打开文件</w:t>
      </w:r>
      <w:bookmarkEnd w:id="6"/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 xml:space="preserve">    点击打开文件，找到之前保存至本地的文件，可以将之前保存的结果重新导入显示在软件界面上。</w:t>
      </w:r>
    </w:p>
    <w:p>
      <w:pPr>
        <w:numPr>
          <w:ilvl w:val="0"/>
          <w:numId w:val="0"/>
        </w:numPr>
        <w:outlineLvl w:val="1"/>
        <w:rPr>
          <w:rFonts w:hint="eastAsia" w:ascii="思源黑体 CN Normal" w:hAnsi="思源黑体 CN Normal" w:eastAsia="思源黑体 CN Normal" w:cs="思源黑体 CN Normal"/>
          <w:sz w:val="24"/>
          <w:szCs w:val="24"/>
          <w:lang w:val="en-US" w:eastAsia="zh-CN"/>
        </w:rPr>
      </w:pPr>
      <w:bookmarkStart w:id="7" w:name="_Toc24633"/>
      <w:r>
        <w:rPr>
          <w:rFonts w:hint="eastAsia" w:ascii="思源黑体 CN Normal" w:hAnsi="思源黑体 CN Normal" w:eastAsia="思源黑体 CN Normal" w:cs="思源黑体 CN Normal"/>
          <w:sz w:val="24"/>
          <w:szCs w:val="24"/>
          <w:lang w:val="en-US" w:eastAsia="zh-CN"/>
        </w:rPr>
        <w:t>2.3实时监测</w:t>
      </w:r>
      <w:bookmarkEnd w:id="7"/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 xml:space="preserve">    点击实时监测进入实时监测界面。</w:t>
      </w:r>
    </w:p>
    <w:p>
      <w:pPr>
        <w:numPr>
          <w:ilvl w:val="0"/>
          <w:numId w:val="0"/>
        </w:numPr>
        <w:outlineLvl w:val="2"/>
        <w:rPr>
          <w:rFonts w:hint="eastAsia" w:ascii="思源黑体 CN Normal" w:hAnsi="思源黑体 CN Normal" w:eastAsia="思源黑体 CN Normal" w:cs="思源黑体 CN Normal"/>
          <w:lang w:val="en-US" w:eastAsia="zh-CN"/>
        </w:rPr>
      </w:pPr>
      <w:bookmarkStart w:id="8" w:name="_Toc16229"/>
      <w:r>
        <w:rPr>
          <w:rFonts w:hint="eastAsia" w:ascii="思源黑体 CN Normal" w:hAnsi="思源黑体 CN Normal" w:eastAsia="思源黑体 CN Normal" w:cs="思源黑体 CN Normal"/>
          <w:lang w:val="en-US" w:eastAsia="zh-CN"/>
        </w:rPr>
        <w:t>2.3.1 0.5s监测</w:t>
      </w:r>
      <w:bookmarkEnd w:id="8"/>
    </w:p>
    <w:p>
      <w:pPr>
        <w:numPr>
          <w:ilvl w:val="0"/>
          <w:numId w:val="0"/>
        </w:numPr>
        <w:ind w:firstLine="420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点击0.5s监测，读取仪器内数据并0.5s刷新一次，显示对应的实时图像。图像选择柱状图时，显示各个指标的实时0.5s数据，选择折线图时，则显示各个指标的时间历程图。点击停止监测，则不再实时刷新数据。如图所示</w:t>
      </w:r>
    </w:p>
    <w:p>
      <w:pPr>
        <w:numPr>
          <w:ilvl w:val="0"/>
          <w:numId w:val="0"/>
        </w:numPr>
        <w:ind w:firstLine="420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点击按钮1，可以切换模式。</w:t>
      </w:r>
    </w:p>
    <w:p>
      <w:pPr>
        <w:numPr>
          <w:ilvl w:val="0"/>
          <w:numId w:val="0"/>
        </w:numPr>
        <w:ind w:firstLine="420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点击按钮2，可以选择不同的模块。</w:t>
      </w:r>
    </w:p>
    <w:p>
      <w:pPr>
        <w:numPr>
          <w:ilvl w:val="0"/>
          <w:numId w:val="0"/>
        </w:numPr>
        <w:ind w:firstLine="420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点击按钮3，可以选择进行图像显示的指标。</w:t>
      </w:r>
    </w:p>
    <w:p>
      <w:pPr>
        <w:numPr>
          <w:ilvl w:val="0"/>
          <w:numId w:val="0"/>
        </w:numPr>
        <w:ind w:firstLine="420"/>
        <w:rPr>
          <w:rFonts w:hint="default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点击按钮4，可以在柱状图和折线图之间切换。</w:t>
      </w:r>
    </w:p>
    <w:p>
      <w:pPr>
        <w:numPr>
          <w:ilvl w:val="0"/>
          <w:numId w:val="0"/>
        </w:numPr>
        <w:ind w:firstLine="420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drawing>
          <wp:inline distT="0" distB="0" distL="114300" distR="114300">
            <wp:extent cx="5269865" cy="3299460"/>
            <wp:effectExtent l="0" t="0" r="6985" b="15240"/>
            <wp:docPr id="4" name="图片 4" descr="7ef261a19405cbcc5217190796162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ef261a19405cbcc52171907961628b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299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3299460"/>
            <wp:effectExtent l="0" t="0" r="6985" b="1524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29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outlineLvl w:val="2"/>
        <w:rPr>
          <w:rFonts w:hint="eastAsia" w:ascii="思源黑体 CN Normal" w:hAnsi="思源黑体 CN Normal" w:eastAsia="思源黑体 CN Normal" w:cs="思源黑体 CN Normal"/>
          <w:lang w:val="en-US" w:eastAsia="zh-CN"/>
        </w:rPr>
      </w:pPr>
      <w:bookmarkStart w:id="9" w:name="_Toc16148"/>
      <w:r>
        <w:rPr>
          <w:rFonts w:hint="eastAsia" w:ascii="思源黑体 CN Normal" w:hAnsi="思源黑体 CN Normal" w:eastAsia="思源黑体 CN Normal" w:cs="思源黑体 CN Normal"/>
          <w:lang w:val="en-US" w:eastAsia="zh-CN"/>
        </w:rPr>
        <w:t>2.3.2 瞬时监测</w:t>
      </w:r>
      <w:bookmarkEnd w:id="9"/>
    </w:p>
    <w:p>
      <w:pPr>
        <w:numPr>
          <w:ilvl w:val="0"/>
          <w:numId w:val="0"/>
        </w:numPr>
        <w:rPr>
          <w:rFonts w:hint="default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 xml:space="preserve">    点击瞬时监测，读取仪器内瞬时数据，显示对应的实时图像。图像选择柱状图时，显示各个指标的瞬时数据，选择折线图时，则显示各个指标的时间历程图。点击停止监测，则不在实时刷新数据。按钮选择参照0.5s监测。</w:t>
      </w:r>
    </w:p>
    <w:p>
      <w:pPr>
        <w:numPr>
          <w:ilvl w:val="0"/>
          <w:numId w:val="0"/>
        </w:numPr>
        <w:outlineLvl w:val="1"/>
        <w:rPr>
          <w:rFonts w:hint="eastAsia" w:ascii="思源黑体 CN Normal" w:hAnsi="思源黑体 CN Normal" w:eastAsia="思源黑体 CN Normal" w:cs="思源黑体 CN Normal"/>
          <w:sz w:val="24"/>
          <w:szCs w:val="24"/>
          <w:lang w:val="en-US" w:eastAsia="zh-CN"/>
        </w:rPr>
      </w:pPr>
      <w:bookmarkStart w:id="10" w:name="_Toc6371"/>
      <w:r>
        <w:rPr>
          <w:rFonts w:hint="eastAsia" w:ascii="思源黑体 CN Normal" w:hAnsi="思源黑体 CN Normal" w:eastAsia="思源黑体 CN Normal" w:cs="思源黑体 CN Normal"/>
          <w:sz w:val="24"/>
          <w:szCs w:val="24"/>
          <w:lang w:val="en-US" w:eastAsia="zh-CN"/>
        </w:rPr>
        <w:t>2.4 同步显示</w:t>
      </w:r>
    </w:p>
    <w:p>
      <w:pPr>
        <w:numPr>
          <w:ilvl w:val="0"/>
          <w:numId w:val="0"/>
        </w:numPr>
        <w:ind w:firstLine="420" w:firstLineChars="200"/>
        <w:rPr>
          <w:rFonts w:hint="default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>本仪器不支持此功能。</w:t>
      </w:r>
    </w:p>
    <w:p>
      <w:pPr>
        <w:numPr>
          <w:ilvl w:val="0"/>
          <w:numId w:val="0"/>
        </w:numPr>
        <w:ind w:firstLine="420" w:firstLineChars="0"/>
        <w:outlineLvl w:val="1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outlineLvl w:val="1"/>
        <w:rPr>
          <w:rFonts w:hint="eastAsia" w:ascii="思源黑体 CN Normal" w:hAnsi="思源黑体 CN Normal" w:eastAsia="思源黑体 CN Normal" w:cs="思源黑体 CN Normal"/>
          <w:sz w:val="24"/>
          <w:szCs w:val="24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4"/>
          <w:szCs w:val="24"/>
          <w:lang w:val="en-US" w:eastAsia="zh-CN"/>
        </w:rPr>
        <w:t>2.5 校准管理</w:t>
      </w:r>
      <w:bookmarkEnd w:id="10"/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 xml:space="preserve">    点击校准管理，进入校准管理页面。点击右上角的校准记录读取，可以将仪器内部的全部校准记录读取并显示在软件界面上。</w:t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3299460"/>
            <wp:effectExtent l="0" t="0" r="6985" b="1524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29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 xml:space="preserve">    校准记录读取完成后点击校准记录导出，可以将校准记录保存至本地。点击校准记录导出，选择要保存的位置，输入文件名称即可保存。</w:t>
      </w:r>
    </w:p>
    <w:p>
      <w:pPr>
        <w:numPr>
          <w:ilvl w:val="0"/>
          <w:numId w:val="0"/>
        </w:numPr>
        <w:outlineLvl w:val="1"/>
        <w:rPr>
          <w:rFonts w:hint="eastAsia" w:ascii="思源黑体 CN Normal" w:hAnsi="思源黑体 CN Normal" w:eastAsia="思源黑体 CN Normal" w:cs="思源黑体 CN Normal"/>
          <w:sz w:val="24"/>
          <w:szCs w:val="24"/>
          <w:lang w:val="en-US" w:eastAsia="zh-CN"/>
        </w:rPr>
      </w:pPr>
      <w:bookmarkStart w:id="11" w:name="_Toc12177"/>
      <w:r>
        <w:rPr>
          <w:rFonts w:hint="eastAsia" w:ascii="思源黑体 CN Normal" w:hAnsi="思源黑体 CN Normal" w:eastAsia="思源黑体 CN Normal" w:cs="思源黑体 CN Normal"/>
          <w:sz w:val="24"/>
          <w:szCs w:val="24"/>
          <w:lang w:val="en-US" w:eastAsia="zh-CN"/>
        </w:rPr>
        <w:t>2.6 基本信息</w:t>
      </w:r>
      <w:bookmarkEnd w:id="11"/>
    </w:p>
    <w:p>
      <w:pPr>
        <w:numPr>
          <w:ilvl w:val="0"/>
          <w:numId w:val="0"/>
        </w:numP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  <w:t xml:space="preserve">    点击基本信息，进入基本信息显示界面。软件自动读取仪器信息，包括仪器型号、串号、传声器型号、传声器串号以及仪器内授权。若仪器未连接成功则此项不显示任何信息。</w:t>
      </w:r>
    </w:p>
    <w:p>
      <w:pPr>
        <w:numPr>
          <w:ilvl w:val="0"/>
          <w:numId w:val="0"/>
        </w:numPr>
        <w:jc w:val="center"/>
        <w:rPr>
          <w:rFonts w:hint="eastAsia" w:ascii="思源黑体 CN Normal" w:hAnsi="思源黑体 CN Normal" w:eastAsia="思源黑体 CN Normal" w:cs="思源黑体 CN Normal"/>
          <w:sz w:val="21"/>
          <w:szCs w:val="21"/>
          <w:lang w:val="en-US" w:eastAsia="zh-CN"/>
        </w:rPr>
      </w:pPr>
      <w:r>
        <w:drawing>
          <wp:inline distT="0" distB="0" distL="114300" distR="114300">
            <wp:extent cx="5269865" cy="3299460"/>
            <wp:effectExtent l="0" t="0" r="6985" b="1524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29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思源黑体 CN Normal">
    <w:altName w:val="黑体"/>
    <w:panose1 w:val="020B0400000000000000"/>
    <w:charset w:val="86"/>
    <w:family w:val="auto"/>
    <w:pitch w:val="default"/>
    <w:sig w:usb0="00000000" w:usb1="00000000" w:usb2="00000016" w:usb3="00000000" w:csb0="60060107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DE3E5D0"/>
    <w:multiLevelType w:val="singleLevel"/>
    <w:tmpl w:val="FDE3E5D0"/>
    <w:lvl w:ilvl="0" w:tentative="0">
      <w:start w:val="2"/>
      <w:numFmt w:val="decimal"/>
      <w:suff w:val="nothing"/>
      <w:lvlText w:val="%1、"/>
      <w:lvlJc w:val="left"/>
    </w:lvl>
  </w:abstractNum>
  <w:abstractNum w:abstractNumId="1">
    <w:nsid w:val="61502430"/>
    <w:multiLevelType w:val="singleLevel"/>
    <w:tmpl w:val="61502430"/>
    <w:lvl w:ilvl="0" w:tentative="0">
      <w:start w:val="1"/>
      <w:numFmt w:val="decimal"/>
      <w:suff w:val="nothing"/>
      <w:lvlText w:val="%1."/>
      <w:lvlJc w:val="left"/>
    </w:lvl>
  </w:abstractNum>
  <w:abstractNum w:abstractNumId="2">
    <w:nsid w:val="618B7237"/>
    <w:multiLevelType w:val="singleLevel"/>
    <w:tmpl w:val="618B7237"/>
    <w:lvl w:ilvl="0" w:tentative="0">
      <w:start w:val="1"/>
      <w:numFmt w:val="bullet"/>
      <w:lvlText w:val=""/>
      <w:lvlJc w:val="left"/>
      <w:pPr>
        <w:tabs>
          <w:tab w:val="left" w:pos="420"/>
        </w:tabs>
        <w:ind w:left="420" w:leftChars="0" w:hanging="420" w:firstLineChars="0"/>
      </w:pPr>
      <w:rPr>
        <w:rFonts w:hint="default" w:ascii="Wingdings" w:hAnsi="Wingdings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mIwNGM0NDNjMTZlNjkwYzdhMWUwMzcwOTg0YjY4MmUifQ=="/>
  </w:docVars>
  <w:rsids>
    <w:rsidRoot w:val="00000000"/>
    <w:rsid w:val="07AA2823"/>
    <w:rsid w:val="29E51F85"/>
    <w:rsid w:val="2E0C62D9"/>
    <w:rsid w:val="2EDC1DF9"/>
    <w:rsid w:val="3A420152"/>
    <w:rsid w:val="42F97BDF"/>
    <w:rsid w:val="615C3FBB"/>
    <w:rsid w:val="66951006"/>
    <w:rsid w:val="67257B0C"/>
    <w:rsid w:val="6D60116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qFormat="1" w:unhideWhenUsed="0" w:uiPriority="0" w:semiHidden="0" w:name="toc 5"/>
    <w:lsdException w:qFormat="1" w:unhideWhenUsed="0" w:uiPriority="0" w:semiHidden="0" w:name="toc 6"/>
    <w:lsdException w:qFormat="1" w:unhideWhenUsed="0" w:uiPriority="0" w:semiHidden="0" w:name="toc 7"/>
    <w:lsdException w:qFormat="1" w:unhideWhenUsed="0" w:uiPriority="0" w:semiHidden="0" w:name="toc 8"/>
    <w:lsdException w:qFormat="1"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12">
    <w:name w:val="Default Paragraph Font"/>
    <w:semiHidden/>
    <w:qFormat/>
    <w:uiPriority w:val="0"/>
  </w:style>
  <w:style w:type="table" w:default="1" w:styleId="11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toc 7"/>
    <w:basedOn w:val="1"/>
    <w:next w:val="1"/>
    <w:qFormat/>
    <w:uiPriority w:val="0"/>
    <w:pPr>
      <w:ind w:left="2520" w:leftChars="1200"/>
    </w:pPr>
  </w:style>
  <w:style w:type="paragraph" w:styleId="3">
    <w:name w:val="toc 5"/>
    <w:basedOn w:val="1"/>
    <w:next w:val="1"/>
    <w:qFormat/>
    <w:uiPriority w:val="0"/>
    <w:pPr>
      <w:ind w:left="1680" w:leftChars="800"/>
    </w:pPr>
  </w:style>
  <w:style w:type="paragraph" w:styleId="4">
    <w:name w:val="toc 3"/>
    <w:basedOn w:val="1"/>
    <w:next w:val="1"/>
    <w:qFormat/>
    <w:uiPriority w:val="0"/>
    <w:pPr>
      <w:ind w:left="840" w:leftChars="400"/>
    </w:pPr>
  </w:style>
  <w:style w:type="paragraph" w:styleId="5">
    <w:name w:val="toc 8"/>
    <w:basedOn w:val="1"/>
    <w:next w:val="1"/>
    <w:qFormat/>
    <w:uiPriority w:val="0"/>
    <w:pPr>
      <w:ind w:left="2940" w:leftChars="1400"/>
    </w:pPr>
  </w:style>
  <w:style w:type="paragraph" w:styleId="6">
    <w:name w:val="toc 1"/>
    <w:basedOn w:val="1"/>
    <w:next w:val="1"/>
    <w:qFormat/>
    <w:uiPriority w:val="0"/>
  </w:style>
  <w:style w:type="paragraph" w:styleId="7">
    <w:name w:val="toc 4"/>
    <w:basedOn w:val="1"/>
    <w:next w:val="1"/>
    <w:uiPriority w:val="0"/>
    <w:pPr>
      <w:ind w:left="1260" w:leftChars="600"/>
    </w:pPr>
  </w:style>
  <w:style w:type="paragraph" w:styleId="8">
    <w:name w:val="toc 6"/>
    <w:basedOn w:val="1"/>
    <w:next w:val="1"/>
    <w:qFormat/>
    <w:uiPriority w:val="0"/>
    <w:pPr>
      <w:ind w:left="2100" w:leftChars="1000"/>
    </w:pPr>
  </w:style>
  <w:style w:type="paragraph" w:styleId="9">
    <w:name w:val="toc 2"/>
    <w:basedOn w:val="1"/>
    <w:next w:val="1"/>
    <w:uiPriority w:val="0"/>
    <w:pPr>
      <w:ind w:left="420" w:leftChars="200"/>
    </w:pPr>
  </w:style>
  <w:style w:type="paragraph" w:styleId="10">
    <w:name w:val="toc 9"/>
    <w:basedOn w:val="1"/>
    <w:next w:val="1"/>
    <w:qFormat/>
    <w:uiPriority w:val="0"/>
    <w:pPr>
      <w:ind w:left="3360" w:leftChars="16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1667</Words>
  <Characters>1903</Characters>
  <Lines>0</Lines>
  <Paragraphs>0</Paragraphs>
  <TotalTime>436</TotalTime>
  <ScaleCrop>false</ScaleCrop>
  <LinksUpToDate>false</LinksUpToDate>
  <CharactersWithSpaces>1994</CharactersWithSpaces>
  <Application>WPS Office_11.1.0.12358_F1E327BC-269C-435d-A152-05C5408002CA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XSH</dc:creator>
  <cp:lastModifiedBy>1</cp:lastModifiedBy>
  <dcterms:modified xsi:type="dcterms:W3CDTF">2022-11-15T07:21:40Z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D7B9C903CA8A4D5C8046B989E349BF92</vt:lpwstr>
  </property>
</Properties>
</file>