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2E" w:rsidRDefault="006A7B2E" w:rsidP="006A7B2E">
      <w:pPr>
        <w:pStyle w:val="a3"/>
        <w:spacing w:before="0" w:beforeAutospacing="0" w:after="0" w:afterAutospacing="0"/>
        <w:rPr>
          <w:color w:val="000000"/>
          <w:sz w:val="21"/>
          <w:szCs w:val="21"/>
        </w:rPr>
      </w:pPr>
      <w:r>
        <w:rPr>
          <w:rFonts w:hint="eastAsia"/>
          <w:b/>
          <w:bCs/>
          <w:color w:val="000000"/>
          <w:sz w:val="21"/>
          <w:szCs w:val="21"/>
        </w:rPr>
        <w:br/>
      </w:r>
      <w:r>
        <w:rPr>
          <w:rStyle w:val="a4"/>
          <w:rFonts w:hint="eastAsia"/>
          <w:color w:val="000000"/>
          <w:sz w:val="21"/>
          <w:szCs w:val="21"/>
        </w:rPr>
        <w:t>             草鱼谷胱甘肽(GSH)酶联免疫分析试剂盒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本试剂盒仅供研究使用。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检测范围：96T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 U/L - 450 U/L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使用目的：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本试剂盒用于测定草鱼血清，血浆及相关液体样本中谷胱甘肽(GSH) 活性。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实验原理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本试剂盒应用双抗体夹心法测定标本中草鱼谷胱甘肽(GSH)水平。用纯化的草鱼谷胱甘肽(GSH)抗体包被微孔板，制成固相抗体，往包被单抗的微孔中依次加入谷胱甘肽(GSH)，再与HRP标记的谷胱甘肽(GSH)抗体结合，形成抗体-抗原-酶标抗体复合物，经过彻底洗涤后加底物TMB显色。TMB在HRP酶的催化下转化成蓝色，并在酸的作用下转化成最终的黄色。颜色的深浅和样品中的谷胱甘肽(GSH)呈正相关。用酶标仪在450nm波长下测定吸光度（OD值），通过标准曲线计算样品中草鱼谷胱甘肽(GSH) 活性浓度。 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试剂盒组成 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295900" cy="1266825"/>
            <wp:effectExtent l="19050" t="0" r="0" b="0"/>
            <wp:docPr id="1" name="图片 1" descr="http://img70.afzhan.com/9/20190828/6370257877628095678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70.afzhan.com/9/20190828/637025787762809567845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标本要求 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1．标本采集后尽早进行提取，提取按相关文献进行，提取后应尽快进行实验。若不能马上进行试验，可将标本放于-20℃保存，但应避免反复冻融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2．不能检测含NaN3的样品，因NaN3抑制辣根过氧化物酶的（HRP）活性。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草鱼谷胱甘肽(GSH)酶联免疫分析试剂盒</w:t>
      </w:r>
      <w:r>
        <w:rPr>
          <w:rFonts w:hint="eastAsia"/>
          <w:color w:val="000000"/>
          <w:sz w:val="21"/>
          <w:szCs w:val="21"/>
        </w:rPr>
        <w:t>操作步骤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5238750" cy="1066800"/>
            <wp:effectExtent l="19050" t="0" r="0" b="0"/>
            <wp:docPr id="2" name="图片 2" descr="http://img71.afzhan.com/9/20190828/6370257879431478792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71.afzhan.com/9/20190828/637025787943147879206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.加样：分别设空白孔（空白对照孔不加样品及酶标试剂，其余各步操作相同）、标准孔、待测样品孔。在酶标包被板上标准品准确加样50μl，待测样品孔中先加样品稀释液40μl，然后再加待测样品10μl（样品最终稀释度为5倍）。加样将样品加于酶标板孔底部，尽量不触及孔壁，轻轻晃动混匀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3.温育：用封板膜封板后置37℃温育30分钟。   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4.配液：将30倍浓缩洗涤液用蒸馏水30倍稀释后备用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5.洗涤：小心揭掉封板膜，弃去液体，甩干，每孔加满洗涤液，静置30秒后弃去，如此重复5次，拍干。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6.加酶：每孔加入酶标试剂50μl，空白孔除外。 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7.温育：操作同3。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8.洗涤：操作同5。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9.显色：每孔先加入显色剂A50μl，再加入显色剂B50μl，轻轻震荡混匀，37℃避光显色10分钟.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10.终止：每孔加终止液50μl，终止反应（此时蓝色立转黄色）。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11.测定：以空白空调零，450nm波长依序测量各孔的吸光度（OD值）。 测定应在加终止液后15分钟以内进行。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草鱼谷胱甘肽(GSH)酶联免疫分析试剂盒</w:t>
      </w:r>
      <w:r>
        <w:rPr>
          <w:rFonts w:hint="eastAsia"/>
          <w:color w:val="000000"/>
          <w:sz w:val="21"/>
          <w:szCs w:val="21"/>
        </w:rPr>
        <w:t>操作程序总结：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noProof/>
          <w:color w:val="000000"/>
          <w:sz w:val="21"/>
          <w:szCs w:val="21"/>
        </w:rPr>
        <w:drawing>
          <wp:inline distT="0" distB="0" distL="0" distR="0">
            <wp:extent cx="3838575" cy="4562475"/>
            <wp:effectExtent l="19050" t="0" r="9525" b="0"/>
            <wp:docPr id="3" name="图片 3" descr="http://img69.afzhan.com/9/20190828/637025788059993377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69.afzhan.com/9/20190828/63702578805999337764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计算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  以标准物的浓度为横坐标，OD值为纵坐标，在坐标纸上绘出标准曲线，根据样品的OD值由标准曲线查出相应的浓度；再乘以稀释倍数；或用标准物的浓度与OD值计算出标准曲线的直线回归方程式，将样品的OD值代入方程式，计算出样品浓度，再乘以稀释倍数，即为样品的实际浓度。 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Style w:val="a4"/>
          <w:rFonts w:hint="eastAsia"/>
          <w:color w:val="000000"/>
          <w:sz w:val="21"/>
          <w:szCs w:val="21"/>
        </w:rPr>
        <w:t>草鱼谷胱甘肽(GSH)酶联免疫分析试剂盒</w:t>
      </w:r>
      <w:r>
        <w:rPr>
          <w:rFonts w:hint="eastAsia"/>
          <w:color w:val="000000"/>
          <w:sz w:val="21"/>
          <w:szCs w:val="21"/>
        </w:rPr>
        <w:t>注意事项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1．试剂盒从冷藏环境中取出应在室温平衡15-30分钟后方可使用，酶标包被板开封后如未用完，板条应装入密封袋中保存。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2．浓洗涤液可能会有结晶析出，稀释时可在水浴中加温助溶，洗涤时不影响结果。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3．各步加样均应使用加样器，并经常校对其准确性，以避免试验误差。一次加样时间zui好控制在5分钟内，如标本数量多，推荐使用排枪加样。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lastRenderedPageBreak/>
        <w:t>4．请每次测定的同时做标准曲线，zui好做复孔。如标本中待测物质含量过高（样本OD值大于标准品孔第一孔的OD值），请先用样品稀释液稀释一定倍数（n倍）后再测定，计算时请最后乘以总稀释倍数（×n×5）。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5．封板膜只限一次性使用，以避免交叉污染。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6．底物请避光保存。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7．严格按照说明书的操作进行，试验结果判定必须以酶标仪读数为准.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8．所有样品，洗涤液和各种废弃物都应按传染物处理。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9．本试剂不同批号组分不得混用。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保存条件及有效期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1．试剂盒保存：2-8℃。</w:t>
      </w:r>
    </w:p>
    <w:p w:rsidR="006A7B2E" w:rsidRDefault="006A7B2E" w:rsidP="006A7B2E">
      <w:pPr>
        <w:pStyle w:val="a3"/>
        <w:spacing w:before="0" w:beforeAutospacing="0" w:after="0" w:afterAutospacing="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2．有效期：6个月</w:t>
      </w:r>
    </w:p>
    <w:p w:rsidR="00562ADB" w:rsidRDefault="00562ADB"/>
    <w:sectPr w:rsidR="00562ADB" w:rsidSect="00562A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A7B2E"/>
    <w:rsid w:val="00562ADB"/>
    <w:rsid w:val="006A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7B2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A7B2E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6A7B2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A7B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4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2019-08-30T08:47:00Z</dcterms:created>
  <dcterms:modified xsi:type="dcterms:W3CDTF">2019-08-30T08:48:00Z</dcterms:modified>
</cp:coreProperties>
</file>