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50BE" w:rsidRPr="00FC50BE" w:rsidRDefault="00FC50BE" w:rsidP="00FC50BE">
      <w:pPr>
        <w:widowControl/>
        <w:snapToGrid w:val="0"/>
        <w:spacing w:line="432" w:lineRule="auto"/>
        <w:jc w:val="left"/>
        <w:rPr>
          <w:rFonts w:ascii="宋体" w:eastAsia="宋体" w:hAnsi="宋体" w:cs="宋体"/>
          <w:kern w:val="0"/>
          <w:szCs w:val="21"/>
        </w:rPr>
      </w:pPr>
      <w:r w:rsidRPr="00FC50BE">
        <w:rPr>
          <w:rFonts w:ascii="宋体" w:eastAsia="宋体" w:hAnsi="宋体" w:cs="宋体" w:hint="eastAsia"/>
          <w:kern w:val="0"/>
          <w:sz w:val="24"/>
          <w:szCs w:val="24"/>
        </w:rPr>
        <w:t>WXG系列玻璃电接点玻璃水银温度计：可调式电接点温度计是通过旋转温度计顶端的磁钢调节帽来调节温度计接点位置。固定式是接点固定在某些特定的温度上，不可调节，电接点数通常不超过3个，两相邻接点距率不小于7mm，(接点温度由用户决定)接点：汞－铂。接点最大电流：20mA(无感负载)。最高电压：36V。感温液：水银。    WXG系列棒式电接点温度计：WXG－01F为直形棒式固定电接点温度计，WXG－02F为90°角。角形棒式固定电接点温度计，无标尺，但温度值标注在某些接点位置上，接点：汞－铂。最大工作流 ：20mA(无感负载)，最高电压：36V。感温液：水银。    WXG系列电接点金属保护套玻璃水银温度计，由原WXG系列玻璃电接点水银温度计外装金属保护套。金属保护套材质可按用户需要镍铬(A3钢)、黄铜(HPb59-1或H62)及不锈钢(1Cr18Ni9Ti)套三种制成。按装螺纹联接一般制成公制M27×2与M20×1.5或英制G3/4"、G1/2"与G3/8"，也可按用户设计图要求加工制作。</w:t>
      </w:r>
    </w:p>
    <w:tbl>
      <w:tblPr>
        <w:tblW w:w="0" w:type="auto"/>
        <w:jc w:val="center"/>
        <w:tblLayout w:type="fixed"/>
        <w:tblCellMar>
          <w:left w:w="0" w:type="dxa"/>
          <w:right w:w="0" w:type="dxa"/>
        </w:tblCellMar>
        <w:tblLook w:val="04A0"/>
      </w:tblPr>
      <w:tblGrid>
        <w:gridCol w:w="7060"/>
      </w:tblGrid>
      <w:tr w:rsidR="00FC50BE" w:rsidRPr="00FC50BE" w:rsidTr="00FC50BE">
        <w:trPr>
          <w:trHeight w:val="450"/>
          <w:jc w:val="center"/>
        </w:trPr>
        <w:tc>
          <w:tcPr>
            <w:tcW w:w="7060" w:type="dxa"/>
            <w:vAlign w:val="center"/>
            <w:hideMark/>
          </w:tcPr>
          <w:p w:rsidR="00FC50BE" w:rsidRPr="00FC50BE" w:rsidRDefault="00FC50BE" w:rsidP="00FC50BE">
            <w:pPr>
              <w:widowControl/>
              <w:spacing w:before="150" w:after="75" w:line="330" w:lineRule="atLeast"/>
              <w:jc w:val="center"/>
              <w:rPr>
                <w:rFonts w:ascii="宋体" w:eastAsia="宋体" w:hAnsi="宋体" w:cs="宋体"/>
                <w:kern w:val="0"/>
                <w:szCs w:val="21"/>
              </w:rPr>
            </w:pPr>
            <w:r w:rsidRPr="00FC50BE">
              <w:rPr>
                <w:rFonts w:ascii="Tahoma" w:eastAsia="宋体" w:hAnsi="Tahoma" w:cs="Tahoma"/>
                <w:b/>
                <w:bCs/>
                <w:color w:val="000000"/>
                <w:kern w:val="0"/>
                <w:sz w:val="20"/>
                <w:szCs w:val="20"/>
              </w:rPr>
              <w:t>怎么样正确使用水银温度计</w:t>
            </w:r>
            <w:r w:rsidRPr="00FC50BE">
              <w:rPr>
                <w:rFonts w:ascii="Tahoma" w:eastAsia="宋体" w:hAnsi="Tahoma" w:cs="Tahoma"/>
                <w:b/>
                <w:bCs/>
                <w:color w:val="000000"/>
                <w:kern w:val="0"/>
                <w:sz w:val="20"/>
                <w:szCs w:val="20"/>
              </w:rPr>
              <w:t>,</w:t>
            </w:r>
            <w:r w:rsidRPr="00FC50BE">
              <w:rPr>
                <w:rFonts w:ascii="宋体" w:eastAsia="宋体" w:hAnsi="宋体" w:cs="Tahoma"/>
                <w:b/>
                <w:bCs/>
                <w:color w:val="000000"/>
                <w:kern w:val="0"/>
                <w:sz w:val="20"/>
                <w:szCs w:val="20"/>
              </w:rPr>
              <w:t>玻璃温度计</w:t>
            </w:r>
            <w:r w:rsidRPr="00FC50BE">
              <w:rPr>
                <w:rFonts w:ascii="Tahoma" w:eastAsia="宋体" w:hAnsi="Tahoma" w:cs="Tahoma"/>
                <w:b/>
                <w:bCs/>
                <w:color w:val="000000"/>
                <w:kern w:val="0"/>
                <w:sz w:val="20"/>
                <w:szCs w:val="20"/>
              </w:rPr>
              <w:t>,</w:t>
            </w:r>
            <w:r w:rsidRPr="00FC50BE">
              <w:rPr>
                <w:rFonts w:ascii="宋体" w:eastAsia="宋体" w:hAnsi="宋体" w:cs="Tahoma"/>
                <w:b/>
                <w:bCs/>
                <w:color w:val="000000"/>
                <w:kern w:val="0"/>
                <w:sz w:val="20"/>
                <w:szCs w:val="20"/>
              </w:rPr>
              <w:t>常州市</w:t>
            </w:r>
            <w:r w:rsidRPr="00FC50BE">
              <w:rPr>
                <w:rFonts w:ascii="宋体" w:eastAsia="宋体" w:hAnsi="宋体" w:cs="宋体" w:hint="eastAsia"/>
                <w:b/>
                <w:bCs/>
                <w:color w:val="000000"/>
                <w:kern w:val="0"/>
                <w:sz w:val="20"/>
                <w:szCs w:val="20"/>
              </w:rPr>
              <w:t>双发热工</w:t>
            </w:r>
            <w:r w:rsidRPr="00FC50BE">
              <w:rPr>
                <w:rFonts w:ascii="Tahoma" w:eastAsia="宋体" w:hAnsi="Tahoma" w:cs="Tahoma"/>
                <w:b/>
                <w:bCs/>
                <w:color w:val="000000"/>
                <w:kern w:val="0"/>
                <w:sz w:val="20"/>
                <w:szCs w:val="20"/>
              </w:rPr>
              <w:t>仪表厂为你解答</w:t>
            </w:r>
          </w:p>
        </w:tc>
      </w:tr>
      <w:tr w:rsidR="00FC50BE" w:rsidRPr="00FC50BE" w:rsidTr="00FC50BE">
        <w:trPr>
          <w:jc w:val="center"/>
        </w:trPr>
        <w:tc>
          <w:tcPr>
            <w:tcW w:w="7060" w:type="dxa"/>
            <w:vAlign w:val="center"/>
            <w:hideMark/>
          </w:tcPr>
          <w:p w:rsidR="00FC50BE" w:rsidRPr="00FC50BE" w:rsidRDefault="00FC50BE" w:rsidP="00FC50BE">
            <w:pPr>
              <w:widowControl/>
              <w:spacing w:line="330" w:lineRule="atLeast"/>
              <w:jc w:val="left"/>
              <w:rPr>
                <w:rFonts w:ascii="宋体" w:eastAsia="宋体" w:hAnsi="宋体" w:cs="宋体"/>
                <w:kern w:val="0"/>
                <w:szCs w:val="21"/>
              </w:rPr>
            </w:pPr>
            <w:r w:rsidRPr="00FC50BE">
              <w:rPr>
                <w:rFonts w:ascii="Tahoma" w:eastAsia="宋体" w:hAnsi="Tahoma" w:cs="Tahoma"/>
                <w:kern w:val="0"/>
                <w:sz w:val="18"/>
                <w:szCs w:val="18"/>
              </w:rPr>
              <w:t>水银</w:t>
            </w:r>
            <w:r w:rsidRPr="00FC50BE">
              <w:rPr>
                <w:rFonts w:ascii="Tahoma" w:eastAsia="宋体" w:hAnsi="Tahoma" w:cs="Tahoma"/>
                <w:kern w:val="0"/>
                <w:sz w:val="18"/>
                <w:szCs w:val="18"/>
              </w:rPr>
              <w:t xml:space="preserve"> </w:t>
            </w:r>
            <w:r w:rsidRPr="00FC50BE">
              <w:rPr>
                <w:rFonts w:ascii="Tahoma" w:eastAsia="宋体" w:hAnsi="Tahoma" w:cs="Tahoma"/>
                <w:kern w:val="0"/>
                <w:sz w:val="18"/>
                <w:szCs w:val="18"/>
              </w:rPr>
              <w:pict/>
            </w:r>
            <w:hyperlink r:id="rId4" w:history="1">
              <w:r w:rsidRPr="00FC50BE">
                <w:rPr>
                  <w:rFonts w:ascii="Tahoma" w:eastAsia="宋体" w:hAnsi="Tahoma" w:cs="Tahoma"/>
                  <w:color w:val="000000"/>
                  <w:kern w:val="0"/>
                  <w:sz w:val="18"/>
                </w:rPr>
                <w:t>温度计</w:t>
              </w:r>
              <w:r w:rsidRPr="00FC50BE">
                <w:rPr>
                  <w:rFonts w:ascii="Tahoma" w:eastAsia="宋体" w:hAnsi="Tahoma" w:cs="Tahoma"/>
                  <w:color w:val="000000"/>
                  <w:kern w:val="0"/>
                  <w:sz w:val="18"/>
                </w:rPr>
                <w:t xml:space="preserve"> </w:t>
              </w:r>
              <w:r w:rsidRPr="00FC50BE">
                <w:rPr>
                  <w:rFonts w:ascii="Tahoma" w:eastAsia="宋体" w:hAnsi="Tahoma" w:cs="Tahoma"/>
                  <w:color w:val="000000"/>
                  <w:kern w:val="0"/>
                  <w:sz w:val="18"/>
                </w:rPr>
                <w:pict/>
              </w:r>
            </w:hyperlink>
            <w:r w:rsidRPr="00FC50BE">
              <w:rPr>
                <w:rFonts w:ascii="宋体" w:eastAsia="宋体" w:hAnsi="宋体" w:cs="宋体"/>
                <w:kern w:val="0"/>
                <w:szCs w:val="21"/>
              </w:rPr>
              <w:t>是膨胀式温度计的一种，用来测量</w:t>
            </w:r>
            <w:r w:rsidRPr="00FC50BE">
              <w:rPr>
                <w:rFonts w:ascii="Tahoma" w:eastAsia="宋体" w:hAnsi="Tahoma" w:cs="Tahoma"/>
                <w:kern w:val="0"/>
                <w:szCs w:val="21"/>
              </w:rPr>
              <w:t>0--150</w:t>
            </w:r>
            <w:r w:rsidRPr="00FC50BE">
              <w:rPr>
                <w:rFonts w:ascii="宋体" w:eastAsia="宋体" w:hAnsi="宋体" w:cs="宋体" w:hint="eastAsia"/>
                <w:kern w:val="0"/>
                <w:sz w:val="18"/>
                <w:szCs w:val="18"/>
              </w:rPr>
              <w:t>℃</w:t>
            </w:r>
            <w:r w:rsidRPr="00FC50BE">
              <w:rPr>
                <w:rFonts w:ascii="Tahoma" w:eastAsia="宋体" w:hAnsi="Tahoma" w:cs="Tahoma"/>
                <w:kern w:val="0"/>
                <w:sz w:val="18"/>
                <w:szCs w:val="18"/>
              </w:rPr>
              <w:t>或</w:t>
            </w:r>
            <w:r w:rsidRPr="00FC50BE">
              <w:rPr>
                <w:rFonts w:ascii="Tahoma" w:eastAsia="宋体" w:hAnsi="Tahoma" w:cs="Tahoma"/>
                <w:kern w:val="0"/>
                <w:sz w:val="18"/>
                <w:szCs w:val="18"/>
              </w:rPr>
              <w:t>500</w:t>
            </w:r>
            <w:r w:rsidRPr="00FC50BE">
              <w:rPr>
                <w:rFonts w:ascii="宋体" w:eastAsia="宋体" w:hAnsi="宋体" w:cs="宋体" w:hint="eastAsia"/>
                <w:kern w:val="0"/>
                <w:sz w:val="18"/>
                <w:szCs w:val="18"/>
              </w:rPr>
              <w:t>℃</w:t>
            </w:r>
            <w:r w:rsidRPr="00FC50BE">
              <w:rPr>
                <w:rFonts w:ascii="Tahoma" w:eastAsia="宋体" w:hAnsi="Tahoma" w:cs="Tahoma"/>
                <w:kern w:val="0"/>
                <w:sz w:val="18"/>
                <w:szCs w:val="18"/>
              </w:rPr>
              <w:t>以内范围的温度，它只能作为就地监督的仪表。用它来测量温度，不仅比较简单直观，而且还可以避免外部远传温度计的误差。使用水银温度计时应注意以下几点：</w:t>
            </w:r>
            <w:r w:rsidRPr="00FC50BE">
              <w:rPr>
                <w:rFonts w:ascii="Tahoma" w:eastAsia="宋体" w:hAnsi="Tahoma" w:cs="Tahoma"/>
                <w:kern w:val="0"/>
                <w:sz w:val="18"/>
                <w:szCs w:val="18"/>
              </w:rPr>
              <w:t xml:space="preserve"> </w:t>
            </w:r>
          </w:p>
          <w:p w:rsidR="00FC50BE" w:rsidRPr="00FC50BE" w:rsidRDefault="00FC50BE" w:rsidP="00FC50BE">
            <w:pPr>
              <w:widowControl/>
              <w:spacing w:before="100" w:after="100" w:line="330" w:lineRule="atLeast"/>
              <w:jc w:val="left"/>
              <w:rPr>
                <w:rFonts w:ascii="宋体" w:eastAsia="宋体" w:hAnsi="宋体" w:cs="宋体"/>
                <w:kern w:val="0"/>
                <w:szCs w:val="21"/>
              </w:rPr>
            </w:pPr>
            <w:r w:rsidRPr="00FC50BE">
              <w:rPr>
                <w:rFonts w:ascii="Tahoma" w:eastAsia="宋体" w:hAnsi="Tahoma" w:cs="Tahoma"/>
                <w:kern w:val="0"/>
                <w:sz w:val="18"/>
                <w:szCs w:val="18"/>
              </w:rPr>
              <w:t>(1)</w:t>
            </w:r>
            <w:r w:rsidRPr="00FC50BE">
              <w:rPr>
                <w:rFonts w:ascii="宋体" w:eastAsia="宋体" w:hAnsi="宋体" w:cs="Tahoma"/>
                <w:kern w:val="0"/>
                <w:sz w:val="18"/>
                <w:szCs w:val="18"/>
              </w:rPr>
              <w:t>使用前应进行校验。</w:t>
            </w:r>
            <w:r w:rsidRPr="00FC50BE">
              <w:rPr>
                <w:rFonts w:ascii="Tahoma" w:eastAsia="宋体" w:hAnsi="Tahoma" w:cs="Tahoma"/>
                <w:kern w:val="0"/>
                <w:sz w:val="18"/>
                <w:szCs w:val="18"/>
              </w:rPr>
              <w:t>(</w:t>
            </w:r>
            <w:r w:rsidRPr="00FC50BE">
              <w:rPr>
                <w:rFonts w:ascii="宋体" w:eastAsia="宋体" w:hAnsi="宋体" w:cs="Tahoma"/>
                <w:kern w:val="0"/>
                <w:sz w:val="18"/>
                <w:szCs w:val="18"/>
              </w:rPr>
              <w:t xml:space="preserve">可以采用标准液温多支比较法进行校验或采用精度更高级的温度计校验。 </w:t>
            </w:r>
          </w:p>
          <w:p w:rsidR="00FC50BE" w:rsidRPr="00FC50BE" w:rsidRDefault="00FC50BE" w:rsidP="00FC50BE">
            <w:pPr>
              <w:widowControl/>
              <w:spacing w:before="100" w:after="100" w:line="330" w:lineRule="atLeast"/>
              <w:jc w:val="left"/>
              <w:rPr>
                <w:rFonts w:ascii="宋体" w:eastAsia="宋体" w:hAnsi="宋体" w:cs="宋体"/>
                <w:kern w:val="0"/>
                <w:szCs w:val="21"/>
              </w:rPr>
            </w:pPr>
            <w:r w:rsidRPr="00FC50BE">
              <w:rPr>
                <w:rFonts w:ascii="Tahoma" w:eastAsia="宋体" w:hAnsi="Tahoma" w:cs="Tahoma"/>
                <w:kern w:val="0"/>
                <w:sz w:val="18"/>
                <w:szCs w:val="18"/>
              </w:rPr>
              <w:t>(2)</w:t>
            </w:r>
            <w:r w:rsidRPr="00FC50BE">
              <w:rPr>
                <w:rFonts w:ascii="宋体" w:eastAsia="宋体" w:hAnsi="宋体" w:cs="Tahoma"/>
                <w:kern w:val="0"/>
                <w:sz w:val="18"/>
                <w:szCs w:val="18"/>
              </w:rPr>
              <w:t xml:space="preserve">不允许使用温度超过该种温度计的最大刻度值的测量值。 </w:t>
            </w:r>
          </w:p>
          <w:p w:rsidR="00FC50BE" w:rsidRPr="00FC50BE" w:rsidRDefault="00FC50BE" w:rsidP="00FC50BE">
            <w:pPr>
              <w:widowControl/>
              <w:spacing w:before="100" w:after="100" w:line="330" w:lineRule="atLeast"/>
              <w:jc w:val="left"/>
              <w:rPr>
                <w:rFonts w:ascii="宋体" w:eastAsia="宋体" w:hAnsi="宋体" w:cs="宋体"/>
                <w:kern w:val="0"/>
                <w:szCs w:val="21"/>
              </w:rPr>
            </w:pPr>
            <w:r w:rsidRPr="00FC50BE">
              <w:rPr>
                <w:rFonts w:ascii="Tahoma" w:eastAsia="宋体" w:hAnsi="Tahoma" w:cs="Tahoma"/>
                <w:kern w:val="0"/>
                <w:sz w:val="18"/>
                <w:szCs w:val="18"/>
              </w:rPr>
              <w:t>(3)</w:t>
            </w:r>
            <w:r w:rsidRPr="00FC50BE">
              <w:rPr>
                <w:rFonts w:ascii="宋体" w:eastAsia="宋体" w:hAnsi="宋体" w:cs="Tahoma"/>
                <w:kern w:val="0"/>
                <w:sz w:val="18"/>
                <w:szCs w:val="18"/>
              </w:rPr>
              <w:t xml:space="preserve">温度计有热惯性，应在温度计达到稳定状态后读数。读数时应在温度凸形弯月面的最高切线方向读取，目光直视。 </w:t>
            </w:r>
          </w:p>
          <w:p w:rsidR="00FC50BE" w:rsidRPr="00FC50BE" w:rsidRDefault="00FC50BE" w:rsidP="00FC50BE">
            <w:pPr>
              <w:widowControl/>
              <w:spacing w:before="100" w:after="100" w:line="330" w:lineRule="atLeast"/>
              <w:jc w:val="left"/>
              <w:rPr>
                <w:rFonts w:ascii="宋体" w:eastAsia="宋体" w:hAnsi="宋体" w:cs="宋体"/>
                <w:kern w:val="0"/>
                <w:szCs w:val="21"/>
              </w:rPr>
            </w:pPr>
            <w:r w:rsidRPr="00FC50BE">
              <w:rPr>
                <w:rFonts w:ascii="Tahoma" w:eastAsia="宋体" w:hAnsi="Tahoma" w:cs="Tahoma"/>
                <w:kern w:val="0"/>
                <w:sz w:val="18"/>
                <w:szCs w:val="18"/>
              </w:rPr>
              <w:t>(4)</w:t>
            </w:r>
            <w:r w:rsidRPr="00FC50BE">
              <w:rPr>
                <w:rFonts w:ascii="宋体" w:eastAsia="宋体" w:hAnsi="宋体" w:cs="Tahoma"/>
                <w:kern w:val="0"/>
                <w:sz w:val="18"/>
                <w:szCs w:val="18"/>
              </w:rPr>
              <w:t xml:space="preserve">水银温度计应与被测工质流动方向相垂直或呈倾斜状。 </w:t>
            </w:r>
          </w:p>
          <w:p w:rsidR="00FC50BE" w:rsidRPr="00FC50BE" w:rsidRDefault="00FC50BE" w:rsidP="00FC50BE">
            <w:pPr>
              <w:widowControl/>
              <w:spacing w:before="100" w:after="100" w:line="330" w:lineRule="atLeast"/>
              <w:jc w:val="left"/>
              <w:rPr>
                <w:rFonts w:ascii="宋体" w:eastAsia="宋体" w:hAnsi="宋体" w:cs="宋体"/>
                <w:kern w:val="0"/>
                <w:szCs w:val="21"/>
              </w:rPr>
            </w:pPr>
            <w:r w:rsidRPr="00FC50BE">
              <w:rPr>
                <w:rFonts w:ascii="Tahoma" w:eastAsia="宋体" w:hAnsi="Tahoma" w:cs="Tahoma"/>
                <w:kern w:val="0"/>
                <w:sz w:val="18"/>
                <w:szCs w:val="18"/>
              </w:rPr>
              <w:t>(5)</w:t>
            </w:r>
            <w:r w:rsidRPr="00FC50BE">
              <w:rPr>
                <w:rFonts w:ascii="宋体" w:eastAsia="宋体" w:hAnsi="宋体" w:cs="Tahoma"/>
                <w:kern w:val="0"/>
                <w:sz w:val="18"/>
                <w:szCs w:val="18"/>
              </w:rPr>
              <w:t xml:space="preserve">水银温度计常常发生水银柱断裂的情况，消除方法有： </w:t>
            </w:r>
          </w:p>
          <w:p w:rsidR="00FC50BE" w:rsidRPr="00FC50BE" w:rsidRDefault="00FC50BE" w:rsidP="00FC50BE">
            <w:pPr>
              <w:widowControl/>
              <w:spacing w:before="100" w:after="100" w:line="330" w:lineRule="atLeast"/>
              <w:jc w:val="left"/>
              <w:rPr>
                <w:rFonts w:ascii="宋体" w:eastAsia="宋体" w:hAnsi="宋体" w:cs="宋体"/>
                <w:kern w:val="0"/>
                <w:szCs w:val="21"/>
              </w:rPr>
            </w:pPr>
            <w:r w:rsidRPr="00FC50BE">
              <w:rPr>
                <w:rFonts w:ascii="宋体" w:eastAsia="宋体" w:hAnsi="宋体" w:cs="宋体" w:hint="eastAsia"/>
                <w:kern w:val="0"/>
                <w:sz w:val="18"/>
                <w:szCs w:val="18"/>
              </w:rPr>
              <w:t>①</w:t>
            </w:r>
            <w:r w:rsidRPr="00FC50BE">
              <w:rPr>
                <w:rFonts w:ascii="Tahoma" w:eastAsia="宋体" w:hAnsi="Tahoma" w:cs="Tahoma"/>
                <w:kern w:val="0"/>
                <w:sz w:val="18"/>
                <w:szCs w:val="18"/>
              </w:rPr>
              <w:t>冷修法：将温度计的测温包插入干冰和酒精混合液中</w:t>
            </w:r>
            <w:r w:rsidRPr="00FC50BE">
              <w:rPr>
                <w:rFonts w:ascii="Tahoma" w:eastAsia="宋体" w:hAnsi="Tahoma" w:cs="Tahoma"/>
                <w:kern w:val="0"/>
                <w:sz w:val="18"/>
                <w:szCs w:val="18"/>
              </w:rPr>
              <w:t>(</w:t>
            </w:r>
            <w:r w:rsidRPr="00FC50BE">
              <w:rPr>
                <w:rFonts w:ascii="宋体" w:eastAsia="宋体" w:hAnsi="宋体" w:cs="Tahoma"/>
                <w:kern w:val="0"/>
                <w:sz w:val="18"/>
                <w:szCs w:val="18"/>
              </w:rPr>
              <w:t>温度不得超过</w:t>
            </w:r>
            <w:r w:rsidRPr="00FC50BE">
              <w:rPr>
                <w:rFonts w:ascii="Tahoma" w:eastAsia="宋体" w:hAnsi="Tahoma" w:cs="Tahoma"/>
                <w:kern w:val="0"/>
                <w:sz w:val="18"/>
                <w:szCs w:val="18"/>
              </w:rPr>
              <w:t>-38</w:t>
            </w:r>
            <w:r w:rsidRPr="00FC50BE">
              <w:rPr>
                <w:rFonts w:ascii="宋体" w:eastAsia="宋体" w:hAnsi="宋体" w:cs="宋体" w:hint="eastAsia"/>
                <w:kern w:val="0"/>
                <w:sz w:val="18"/>
                <w:szCs w:val="18"/>
              </w:rPr>
              <w:t>℃</w:t>
            </w:r>
            <w:r w:rsidRPr="00FC50BE">
              <w:rPr>
                <w:rFonts w:ascii="Tahoma" w:eastAsia="宋体" w:hAnsi="Tahoma" w:cs="Tahoma"/>
                <w:kern w:val="0"/>
                <w:sz w:val="18"/>
                <w:szCs w:val="18"/>
              </w:rPr>
              <w:t>)</w:t>
            </w:r>
            <w:r w:rsidRPr="00FC50BE">
              <w:rPr>
                <w:rFonts w:ascii="宋体" w:eastAsia="宋体" w:hAnsi="宋体" w:cs="Tahoma"/>
                <w:kern w:val="0"/>
                <w:sz w:val="18"/>
                <w:szCs w:val="18"/>
              </w:rPr>
              <w:t xml:space="preserve">进行冷缩，使毛细管中的水银全部收缩到测温包中为止。 </w:t>
            </w:r>
          </w:p>
          <w:p w:rsidR="00FC50BE" w:rsidRDefault="00FC50BE" w:rsidP="00FC50BE">
            <w:pPr>
              <w:widowControl/>
              <w:spacing w:before="100" w:after="100" w:line="330" w:lineRule="atLeast"/>
              <w:jc w:val="left"/>
              <w:rPr>
                <w:rFonts w:ascii="Tahoma" w:eastAsia="宋体" w:hAnsi="Tahoma" w:cs="Tahoma" w:hint="eastAsia"/>
                <w:kern w:val="0"/>
                <w:sz w:val="18"/>
                <w:szCs w:val="18"/>
              </w:rPr>
            </w:pPr>
            <w:r w:rsidRPr="00FC50BE">
              <w:rPr>
                <w:rFonts w:ascii="宋体" w:eastAsia="宋体" w:hAnsi="宋体" w:cs="宋体" w:hint="eastAsia"/>
                <w:kern w:val="0"/>
                <w:sz w:val="18"/>
                <w:szCs w:val="18"/>
              </w:rPr>
              <w:t>②</w:t>
            </w:r>
            <w:r w:rsidRPr="00FC50BE">
              <w:rPr>
                <w:rFonts w:ascii="Tahoma" w:eastAsia="宋体" w:hAnsi="Tahoma" w:cs="Tahoma"/>
                <w:kern w:val="0"/>
                <w:sz w:val="18"/>
                <w:szCs w:val="18"/>
              </w:rPr>
              <w:t>热修法：将温度计缓慢插入温度略高于测量上限的恒温槽中，使水银断裂部分与整个水银柱连接起来，再缓慢取出温度计，在空气中逐渐冷至室温。</w:t>
            </w:r>
          </w:p>
          <w:p w:rsidR="00FC50BE" w:rsidRDefault="00FC50BE" w:rsidP="00FC50BE">
            <w:pPr>
              <w:widowControl/>
              <w:spacing w:before="100" w:after="100" w:line="330" w:lineRule="atLeast"/>
              <w:jc w:val="left"/>
              <w:rPr>
                <w:rFonts w:ascii="Tahoma" w:eastAsia="宋体" w:hAnsi="Tahoma" w:cs="Tahoma" w:hint="eastAsia"/>
                <w:kern w:val="0"/>
                <w:sz w:val="18"/>
                <w:szCs w:val="18"/>
              </w:rPr>
            </w:pPr>
          </w:p>
          <w:p w:rsidR="00FC50BE" w:rsidRDefault="00FC50BE" w:rsidP="00FC50BE">
            <w:pPr>
              <w:widowControl/>
              <w:spacing w:before="100" w:after="100" w:line="330" w:lineRule="atLeast"/>
              <w:jc w:val="left"/>
              <w:rPr>
                <w:rFonts w:ascii="Tahoma" w:eastAsia="宋体" w:hAnsi="Tahoma" w:cs="Tahoma" w:hint="eastAsia"/>
                <w:kern w:val="0"/>
                <w:sz w:val="18"/>
                <w:szCs w:val="18"/>
              </w:rPr>
            </w:pPr>
          </w:p>
          <w:p w:rsidR="00FC50BE" w:rsidRPr="00FC50BE" w:rsidRDefault="00FC50BE" w:rsidP="00FC50BE">
            <w:pPr>
              <w:widowControl/>
              <w:spacing w:before="100" w:beforeAutospacing="1" w:after="100" w:afterAutospacing="1" w:line="600" w:lineRule="atLeast"/>
              <w:jc w:val="center"/>
              <w:outlineLvl w:val="3"/>
              <w:rPr>
                <w:rFonts w:ascii="宋体" w:eastAsia="宋体" w:hAnsi="宋体" w:cs="宋体"/>
                <w:b/>
                <w:bCs/>
                <w:kern w:val="0"/>
                <w:sz w:val="30"/>
                <w:szCs w:val="30"/>
              </w:rPr>
            </w:pPr>
            <w:r w:rsidRPr="00FC50BE">
              <w:rPr>
                <w:rFonts w:ascii="宋体" w:eastAsia="宋体" w:hAnsi="宋体" w:cs="宋体"/>
                <w:b/>
                <w:bCs/>
                <w:kern w:val="0"/>
                <w:sz w:val="30"/>
                <w:szCs w:val="30"/>
              </w:rPr>
              <w:lastRenderedPageBreak/>
              <w:t>电磁流量计使用中的常见故障</w:t>
            </w:r>
          </w:p>
          <w:p w:rsidR="00FC50BE" w:rsidRPr="00FC50BE" w:rsidRDefault="00FC50BE" w:rsidP="00FC50BE">
            <w:pPr>
              <w:widowControl/>
              <w:spacing w:line="420" w:lineRule="atLeast"/>
              <w:jc w:val="left"/>
              <w:rPr>
                <w:rFonts w:ascii="宋体" w:eastAsia="宋体" w:hAnsi="宋体" w:cs="宋体"/>
                <w:kern w:val="0"/>
                <w:szCs w:val="21"/>
              </w:rPr>
            </w:pPr>
            <w:r w:rsidRPr="00FC50BE">
              <w:rPr>
                <w:rFonts w:ascii="宋体" w:eastAsia="宋体" w:hAnsi="宋体" w:cs="宋体"/>
                <w:kern w:val="0"/>
                <w:szCs w:val="21"/>
              </w:rPr>
              <w:t xml:space="preserve">      </w:t>
            </w:r>
            <w:r w:rsidRPr="00FC50BE">
              <w:rPr>
                <w:rFonts w:ascii="宋体" w:eastAsia="宋体" w:hAnsi="宋体" w:cs="宋体"/>
                <w:kern w:val="0"/>
                <w:sz w:val="20"/>
                <w:szCs w:val="20"/>
              </w:rPr>
              <w:t>电磁流量计使用中的常见故障，有的是由于仪表本身元器件损坏引起的故障，有的是由于选用不当、安装不妥、环境条件、流体特性等因素造成的故障，如显示波动、精度下降甚至仪表损坏等。它一般可以分为两种类型：安装调试时出现的故障(调试期故障)和正常运行时出现的故障(运行期故障)。</w:t>
            </w:r>
            <w:r w:rsidRPr="00FC50BE">
              <w:rPr>
                <w:rFonts w:ascii="宋体" w:eastAsia="宋体" w:hAnsi="宋体" w:cs="宋体"/>
                <w:kern w:val="0"/>
                <w:sz w:val="20"/>
                <w:szCs w:val="20"/>
              </w:rPr>
              <w:br/>
              <w:t>(1)调试期故障调试期待故障一般出现在仪表安装调试阶段，一经排除，在以后相同条件下一般不会再出现。常见的调试期故障一般由安装不妥、环境干扰以及流体特性影响等原因引起。</w:t>
            </w:r>
            <w:r w:rsidRPr="00FC50BE">
              <w:rPr>
                <w:rFonts w:ascii="宋体" w:eastAsia="宋体" w:hAnsi="宋体" w:cs="宋体"/>
                <w:kern w:val="0"/>
                <w:sz w:val="20"/>
                <w:szCs w:val="20"/>
              </w:rPr>
              <w:br/>
              <w:t> 1)安装方面通常是电磁流量传感器安装位置不正确引起的故障，常见的如将传感器安装在易积聚气体的管系最高点；或安装在自上而下的垂直管上，可能出现排空；或传感器后无背压，流体直接排入大气而形成测量管内非满管。</w:t>
            </w:r>
            <w:r w:rsidRPr="00FC50BE">
              <w:rPr>
                <w:rFonts w:ascii="宋体" w:eastAsia="宋体" w:hAnsi="宋体" w:cs="宋体"/>
                <w:kern w:val="0"/>
                <w:sz w:val="20"/>
                <w:szCs w:val="20"/>
              </w:rPr>
              <w:br/>
              <w:t> 2)环境方面通常主要是管道杂散电流干扰，空间强电磁波干扰，大型电机磁场干扰等。管道杂散电流干扰通常采取良好的单独接地保护就可获得满意结果，但如遇到强大的杂散电流(如电解车间管道，有时在两电极上感应的交流电势峰值Vpp可高达1V)，尚需采取另外措施和流量传感器与管道绝缘等。空间电磁波干扰一般经信号电缆引入，通常采用单层或多层屏蔽予以保护。</w:t>
            </w:r>
            <w:r w:rsidRPr="00FC50BE">
              <w:rPr>
                <w:rFonts w:ascii="宋体" w:eastAsia="宋体" w:hAnsi="宋体" w:cs="宋体"/>
                <w:kern w:val="0"/>
                <w:sz w:val="20"/>
                <w:szCs w:val="20"/>
              </w:rPr>
              <w:br/>
              <w:t> 3)流体方面被测液体中含有均匀分布的微小气泡通常不影响电磁流量计的正常工作，但随着气泡的增大，仪表输出信号会出现波动，若气泡大到足以遮盖整个电极表面时，随着气泡流过电极会使电极回路瞬间断路而使输出信号出现更大的波动。</w:t>
            </w:r>
            <w:r w:rsidRPr="00FC50BE">
              <w:rPr>
                <w:rFonts w:ascii="宋体" w:eastAsia="宋体" w:hAnsi="宋体" w:cs="宋体"/>
                <w:kern w:val="0"/>
                <w:sz w:val="20"/>
                <w:szCs w:val="20"/>
              </w:rPr>
              <w:br/>
              <w:t>    低频方波励磁的电磁流量计测量固体含量过多浆液时，也将产生浆液噪声，使输出信号产生波动。</w:t>
            </w:r>
            <w:r w:rsidRPr="00FC50BE">
              <w:rPr>
                <w:rFonts w:ascii="宋体" w:eastAsia="宋体" w:hAnsi="宋体" w:cs="宋体"/>
                <w:kern w:val="0"/>
                <w:sz w:val="20"/>
                <w:szCs w:val="20"/>
              </w:rPr>
              <w:br/>
              <w:t>    测量混合介质时，如果在混合未均匀前就进入流量传感进行测量，也将使输出信号产生波动。</w:t>
            </w:r>
            <w:r w:rsidRPr="00FC50BE">
              <w:rPr>
                <w:rFonts w:ascii="宋体" w:eastAsia="宋体" w:hAnsi="宋体" w:cs="宋体"/>
                <w:kern w:val="0"/>
                <w:sz w:val="20"/>
                <w:szCs w:val="20"/>
              </w:rPr>
              <w:br/>
              <w:t>   电极材料与被测介质选配不当，也将由于化学作用或极化现象而影响正常测量。应根据仪表选用或有关手册正确选配电极材料。</w:t>
            </w:r>
            <w:r w:rsidRPr="00FC50BE">
              <w:rPr>
                <w:rFonts w:ascii="宋体" w:eastAsia="宋体" w:hAnsi="宋体" w:cs="宋体"/>
                <w:kern w:val="0"/>
                <w:sz w:val="20"/>
                <w:szCs w:val="20"/>
              </w:rPr>
              <w:br/>
              <w:t>(2)运行期故障运行期故障是电磁流量计经调试并正常运行一段时期后出现的故障，常见的运行期故障一般由流量传感器内壁附着层、雷电打击以及环境条件变化等因素引起。</w:t>
            </w:r>
            <w:r w:rsidRPr="00FC50BE">
              <w:rPr>
                <w:rFonts w:ascii="宋体" w:eastAsia="宋体" w:hAnsi="宋体" w:cs="宋体"/>
                <w:kern w:val="0"/>
                <w:sz w:val="20"/>
                <w:szCs w:val="20"/>
              </w:rPr>
              <w:br/>
              <w:t> 1)传感器内壁附着层由于电磁流量计常用来测量脏污流体，运行一段时间后，常会在传感器内壁积聚附着层而产生故障。这些故障往往是由于附着层的电导率</w:t>
            </w:r>
            <w:r w:rsidRPr="00FC50BE">
              <w:rPr>
                <w:rFonts w:ascii="宋体" w:eastAsia="宋体" w:hAnsi="宋体" w:cs="宋体"/>
                <w:kern w:val="0"/>
                <w:sz w:val="20"/>
                <w:szCs w:val="20"/>
              </w:rPr>
              <w:lastRenderedPageBreak/>
              <w:t>太大或太小造成的。若附着物为绝缘层，则电极回路将出现断路，仪表不能正常工作；若附着层电导率显著高于流体电导率，则电极回路将出现短路，仪表也不能正常工作。所以，应及时清除电磁流量计测量管内的附着结垢层。</w:t>
            </w:r>
            <w:r w:rsidRPr="00FC50BE">
              <w:rPr>
                <w:rFonts w:ascii="宋体" w:eastAsia="宋体" w:hAnsi="宋体" w:cs="宋体"/>
                <w:kern w:val="0"/>
                <w:sz w:val="20"/>
                <w:szCs w:val="20"/>
              </w:rPr>
              <w:br/>
              <w:t> 2)雷电打击雷击容易在仪表线路中感应出高电压和浪涌电流，使仪表损坏。它主要通过电源线或励磁线圈或传感器与转换器之间的流量信号线等途径引入，尤其是从控制室电源线引入占绝大部分。</w:t>
            </w:r>
            <w:r w:rsidRPr="00FC50BE">
              <w:rPr>
                <w:rFonts w:ascii="宋体" w:eastAsia="宋体" w:hAnsi="宋体" w:cs="宋体"/>
                <w:kern w:val="0"/>
                <w:sz w:val="20"/>
                <w:szCs w:val="20"/>
              </w:rPr>
              <w:br/>
              <w:t> 3)环境条件变化在调试期间由于环境条件尚好(例如没有干扰源)，流量计工作正常，此时往往容易疏忽安装条件(例如接地并不怎么良好)。在这种情况下，一旦环境条件变化，运行期间出现新的干扰源(如在流量计附近管道上进行电焊，附近安装上大型变压器等)，就会干扰仪表的正常工作，流量计的输出输出信号就会出现波动</w:t>
            </w:r>
          </w:p>
          <w:p w:rsidR="00FC50BE" w:rsidRPr="00FC50BE" w:rsidRDefault="00FC50BE" w:rsidP="00FC50BE">
            <w:pPr>
              <w:widowControl/>
              <w:spacing w:before="100" w:after="100" w:line="330" w:lineRule="atLeast"/>
              <w:jc w:val="left"/>
              <w:rPr>
                <w:rFonts w:ascii="宋体" w:eastAsia="宋体" w:hAnsi="宋体" w:cs="宋体"/>
                <w:kern w:val="0"/>
                <w:szCs w:val="21"/>
              </w:rPr>
            </w:pPr>
          </w:p>
        </w:tc>
      </w:tr>
    </w:tbl>
    <w:p w:rsidR="000F19BF" w:rsidRDefault="000F19BF"/>
    <w:sectPr w:rsidR="000F19BF" w:rsidSect="000F19B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C50BE"/>
    <w:rsid w:val="000F19BF"/>
    <w:rsid w:val="00FC50B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19B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FC50BE"/>
    <w:rPr>
      <w:strike w:val="0"/>
      <w:dstrike w:val="0"/>
      <w:color w:val="000000"/>
      <w:u w:val="none"/>
      <w:effect w:val="none"/>
    </w:rPr>
  </w:style>
  <w:style w:type="paragraph" w:customStyle="1" w:styleId="downtime1">
    <w:name w:val="down_time1"/>
    <w:basedOn w:val="a"/>
    <w:rsid w:val="00FC50BE"/>
    <w:pPr>
      <w:widowControl/>
      <w:pBdr>
        <w:bottom w:val="single" w:sz="6" w:space="0" w:color="CCCCCC"/>
      </w:pBdr>
      <w:spacing w:before="100" w:beforeAutospacing="1" w:after="150" w:line="450" w:lineRule="atLeast"/>
      <w:jc w:val="center"/>
    </w:pPr>
    <w:rPr>
      <w:rFonts w:ascii="宋体" w:eastAsia="宋体" w:hAnsi="宋体" w:cs="宋体"/>
      <w:color w:val="7D7D7D"/>
      <w:kern w:val="0"/>
      <w:szCs w:val="21"/>
    </w:rPr>
  </w:style>
</w:styles>
</file>

<file path=word/webSettings.xml><?xml version="1.0" encoding="utf-8"?>
<w:webSettings xmlns:r="http://schemas.openxmlformats.org/officeDocument/2006/relationships" xmlns:w="http://schemas.openxmlformats.org/wordprocessingml/2006/main">
  <w:divs>
    <w:div w:id="318384429">
      <w:bodyDiv w:val="1"/>
      <w:marLeft w:val="0"/>
      <w:marRight w:val="0"/>
      <w:marTop w:val="0"/>
      <w:marBottom w:val="0"/>
      <w:divBdr>
        <w:top w:val="none" w:sz="0" w:space="0" w:color="auto"/>
        <w:left w:val="none" w:sz="0" w:space="0" w:color="auto"/>
        <w:bottom w:val="none" w:sz="0" w:space="0" w:color="auto"/>
        <w:right w:val="none" w:sz="0" w:space="0" w:color="auto"/>
      </w:divBdr>
      <w:divsChild>
        <w:div w:id="772093219">
          <w:marLeft w:val="0"/>
          <w:marRight w:val="0"/>
          <w:marTop w:val="0"/>
          <w:marBottom w:val="0"/>
          <w:divBdr>
            <w:top w:val="none" w:sz="0" w:space="0" w:color="auto"/>
            <w:left w:val="none" w:sz="0" w:space="0" w:color="auto"/>
            <w:bottom w:val="none" w:sz="0" w:space="0" w:color="auto"/>
            <w:right w:val="none" w:sz="0" w:space="0" w:color="auto"/>
          </w:divBdr>
          <w:divsChild>
            <w:div w:id="222758353">
              <w:marLeft w:val="210"/>
              <w:marRight w:val="210"/>
              <w:marTop w:val="0"/>
              <w:marBottom w:val="0"/>
              <w:divBdr>
                <w:top w:val="none" w:sz="0" w:space="0" w:color="auto"/>
                <w:left w:val="none" w:sz="0" w:space="0" w:color="auto"/>
                <w:bottom w:val="none" w:sz="0" w:space="0" w:color="auto"/>
                <w:right w:val="none" w:sz="0" w:space="0" w:color="auto"/>
              </w:divBdr>
              <w:divsChild>
                <w:div w:id="883060347">
                  <w:marLeft w:val="0"/>
                  <w:marRight w:val="0"/>
                  <w:marTop w:val="0"/>
                  <w:marBottom w:val="150"/>
                  <w:divBdr>
                    <w:top w:val="none" w:sz="0" w:space="0" w:color="auto"/>
                    <w:left w:val="none" w:sz="0" w:space="0" w:color="auto"/>
                    <w:bottom w:val="none" w:sz="0" w:space="0" w:color="auto"/>
                    <w:right w:val="none" w:sz="0" w:space="0" w:color="auto"/>
                  </w:divBdr>
                  <w:divsChild>
                    <w:div w:id="870806014">
                      <w:marLeft w:val="0"/>
                      <w:marRight w:val="0"/>
                      <w:marTop w:val="0"/>
                      <w:marBottom w:val="0"/>
                      <w:divBdr>
                        <w:top w:val="none" w:sz="0" w:space="0" w:color="auto"/>
                        <w:left w:val="none" w:sz="0" w:space="0" w:color="auto"/>
                        <w:bottom w:val="none" w:sz="0" w:space="0" w:color="auto"/>
                        <w:right w:val="none" w:sz="0" w:space="0" w:color="auto"/>
                      </w:divBdr>
                      <w:divsChild>
                        <w:div w:id="1517695885">
                          <w:marLeft w:val="0"/>
                          <w:marRight w:val="0"/>
                          <w:marTop w:val="0"/>
                          <w:marBottom w:val="0"/>
                          <w:divBdr>
                            <w:top w:val="none" w:sz="0" w:space="0" w:color="auto"/>
                            <w:left w:val="none" w:sz="0" w:space="0" w:color="auto"/>
                            <w:bottom w:val="none" w:sz="0" w:space="0" w:color="auto"/>
                            <w:right w:val="none" w:sz="0" w:space="0" w:color="auto"/>
                          </w:divBdr>
                          <w:divsChild>
                            <w:div w:id="2015643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0467384">
      <w:bodyDiv w:val="1"/>
      <w:marLeft w:val="0"/>
      <w:marRight w:val="0"/>
      <w:marTop w:val="0"/>
      <w:marBottom w:val="0"/>
      <w:divBdr>
        <w:top w:val="none" w:sz="0" w:space="0" w:color="auto"/>
        <w:left w:val="none" w:sz="0" w:space="0" w:color="auto"/>
        <w:bottom w:val="none" w:sz="0" w:space="0" w:color="auto"/>
        <w:right w:val="none" w:sz="0" w:space="0" w:color="auto"/>
      </w:divBdr>
      <w:divsChild>
        <w:div w:id="79259695">
          <w:marLeft w:val="0"/>
          <w:marRight w:val="0"/>
          <w:marTop w:val="0"/>
          <w:marBottom w:val="0"/>
          <w:divBdr>
            <w:top w:val="none" w:sz="0" w:space="0" w:color="auto"/>
            <w:left w:val="none" w:sz="0" w:space="0" w:color="auto"/>
            <w:bottom w:val="none" w:sz="0" w:space="0" w:color="auto"/>
            <w:right w:val="none" w:sz="0" w:space="0" w:color="auto"/>
          </w:divBdr>
          <w:divsChild>
            <w:div w:id="960695070">
              <w:marLeft w:val="210"/>
              <w:marRight w:val="210"/>
              <w:marTop w:val="0"/>
              <w:marBottom w:val="0"/>
              <w:divBdr>
                <w:top w:val="none" w:sz="0" w:space="0" w:color="auto"/>
                <w:left w:val="none" w:sz="0" w:space="0" w:color="auto"/>
                <w:bottom w:val="none" w:sz="0" w:space="0" w:color="auto"/>
                <w:right w:val="none" w:sz="0" w:space="0" w:color="auto"/>
              </w:divBdr>
              <w:divsChild>
                <w:div w:id="576285221">
                  <w:marLeft w:val="0"/>
                  <w:marRight w:val="0"/>
                  <w:marTop w:val="0"/>
                  <w:marBottom w:val="150"/>
                  <w:divBdr>
                    <w:top w:val="none" w:sz="0" w:space="0" w:color="auto"/>
                    <w:left w:val="none" w:sz="0" w:space="0" w:color="auto"/>
                    <w:bottom w:val="none" w:sz="0" w:space="0" w:color="auto"/>
                    <w:right w:val="none" w:sz="0" w:space="0" w:color="auto"/>
                  </w:divBdr>
                  <w:divsChild>
                    <w:div w:id="2088962903">
                      <w:marLeft w:val="0"/>
                      <w:marRight w:val="0"/>
                      <w:marTop w:val="0"/>
                      <w:marBottom w:val="0"/>
                      <w:divBdr>
                        <w:top w:val="none" w:sz="0" w:space="0" w:color="auto"/>
                        <w:left w:val="none" w:sz="0" w:space="0" w:color="auto"/>
                        <w:bottom w:val="none" w:sz="0" w:space="0" w:color="auto"/>
                        <w:right w:val="none" w:sz="0" w:space="0" w:color="auto"/>
                      </w:divBdr>
                      <w:divsChild>
                        <w:div w:id="1824616562">
                          <w:marLeft w:val="0"/>
                          <w:marRight w:val="0"/>
                          <w:marTop w:val="0"/>
                          <w:marBottom w:val="0"/>
                          <w:divBdr>
                            <w:top w:val="none" w:sz="0" w:space="0" w:color="auto"/>
                            <w:left w:val="none" w:sz="0" w:space="0" w:color="auto"/>
                            <w:bottom w:val="none" w:sz="0" w:space="0" w:color="auto"/>
                            <w:right w:val="none" w:sz="0" w:space="0" w:color="auto"/>
                          </w:divBdr>
                          <w:divsChild>
                            <w:div w:id="99422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044953">
      <w:bodyDiv w:val="1"/>
      <w:marLeft w:val="0"/>
      <w:marRight w:val="0"/>
      <w:marTop w:val="0"/>
      <w:marBottom w:val="0"/>
      <w:divBdr>
        <w:top w:val="none" w:sz="0" w:space="0" w:color="auto"/>
        <w:left w:val="none" w:sz="0" w:space="0" w:color="auto"/>
        <w:bottom w:val="none" w:sz="0" w:space="0" w:color="auto"/>
        <w:right w:val="none" w:sz="0" w:space="0" w:color="auto"/>
      </w:divBdr>
      <w:divsChild>
        <w:div w:id="1892110284">
          <w:marLeft w:val="0"/>
          <w:marRight w:val="0"/>
          <w:marTop w:val="0"/>
          <w:marBottom w:val="0"/>
          <w:divBdr>
            <w:top w:val="none" w:sz="0" w:space="0" w:color="auto"/>
            <w:left w:val="none" w:sz="0" w:space="0" w:color="auto"/>
            <w:bottom w:val="none" w:sz="0" w:space="0" w:color="auto"/>
            <w:right w:val="none" w:sz="0" w:space="0" w:color="auto"/>
          </w:divBdr>
          <w:divsChild>
            <w:div w:id="200554046">
              <w:marLeft w:val="210"/>
              <w:marRight w:val="210"/>
              <w:marTop w:val="0"/>
              <w:marBottom w:val="0"/>
              <w:divBdr>
                <w:top w:val="none" w:sz="0" w:space="0" w:color="auto"/>
                <w:left w:val="none" w:sz="0" w:space="0" w:color="auto"/>
                <w:bottom w:val="none" w:sz="0" w:space="0" w:color="auto"/>
                <w:right w:val="none" w:sz="0" w:space="0" w:color="auto"/>
              </w:divBdr>
              <w:divsChild>
                <w:div w:id="2066098082">
                  <w:marLeft w:val="0"/>
                  <w:marRight w:val="0"/>
                  <w:marTop w:val="0"/>
                  <w:marBottom w:val="150"/>
                  <w:divBdr>
                    <w:top w:val="none" w:sz="0" w:space="0" w:color="auto"/>
                    <w:left w:val="none" w:sz="0" w:space="0" w:color="auto"/>
                    <w:bottom w:val="none" w:sz="0" w:space="0" w:color="auto"/>
                    <w:right w:val="none" w:sz="0" w:space="0" w:color="auto"/>
                  </w:divBdr>
                  <w:divsChild>
                    <w:div w:id="1300451510">
                      <w:marLeft w:val="0"/>
                      <w:marRight w:val="0"/>
                      <w:marTop w:val="0"/>
                      <w:marBottom w:val="0"/>
                      <w:divBdr>
                        <w:top w:val="none" w:sz="0" w:space="0" w:color="auto"/>
                        <w:left w:val="none" w:sz="0" w:space="0" w:color="auto"/>
                        <w:bottom w:val="none" w:sz="0" w:space="0" w:color="auto"/>
                        <w:right w:val="none" w:sz="0" w:space="0" w:color="auto"/>
                      </w:divBdr>
                      <w:divsChild>
                        <w:div w:id="674771256">
                          <w:marLeft w:val="0"/>
                          <w:marRight w:val="0"/>
                          <w:marTop w:val="0"/>
                          <w:marBottom w:val="0"/>
                          <w:divBdr>
                            <w:top w:val="none" w:sz="0" w:space="0" w:color="auto"/>
                            <w:left w:val="none" w:sz="0" w:space="0" w:color="auto"/>
                            <w:bottom w:val="none" w:sz="0" w:space="0" w:color="auto"/>
                            <w:right w:val="none" w:sz="0" w:space="0" w:color="auto"/>
                          </w:divBdr>
                          <w:divsChild>
                            <w:div w:id="461462489">
                              <w:marLeft w:val="0"/>
                              <w:marRight w:val="0"/>
                              <w:marTop w:val="0"/>
                              <w:marBottom w:val="0"/>
                              <w:divBdr>
                                <w:top w:val="none" w:sz="0" w:space="0" w:color="auto"/>
                                <w:left w:val="none" w:sz="0" w:space="0" w:color="auto"/>
                                <w:bottom w:val="none" w:sz="0" w:space="0" w:color="auto"/>
                                <w:right w:val="none" w:sz="0" w:space="0" w:color="auto"/>
                              </w:divBdr>
                              <w:divsChild>
                                <w:div w:id="759563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czwdj.com/czwdj_Category_320268_1.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336</Words>
  <Characters>1916</Characters>
  <Application>Microsoft Office Word</Application>
  <DocSecurity>0</DocSecurity>
  <Lines>15</Lines>
  <Paragraphs>4</Paragraphs>
  <ScaleCrop>false</ScaleCrop>
  <Company/>
  <LinksUpToDate>false</LinksUpToDate>
  <CharactersWithSpaces>2248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DADI</dc:creator>
  <cp:lastModifiedBy>DADI</cp:lastModifiedBy>
  <cp:revision>1</cp:revision>
  <dcterms:created xsi:type="dcterms:W3CDTF">2011-03-12T09:24:00Z</dcterms:created>
  <dcterms:modified xsi:type="dcterms:W3CDTF">2011-03-12T09:27:00Z</dcterms:modified>
</cp:coreProperties>
</file>